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B4A3" w14:textId="4248F9AF" w:rsidR="007B61A3" w:rsidRDefault="007B61A3" w:rsidP="007B61A3">
      <w:pPr>
        <w:pStyle w:val="Heading1"/>
      </w:pPr>
      <w:r>
        <w:t xml:space="preserve">Process for AOA Driving Endorsements </w:t>
      </w:r>
      <w:r w:rsidR="000C4707">
        <w:t>(License)</w:t>
      </w:r>
    </w:p>
    <w:p w14:paraId="40E8B749" w14:textId="6E19129A" w:rsidR="004E7CAF" w:rsidRDefault="0028729D">
      <w:r>
        <w:t xml:space="preserve">The purpose of this document is to outline the process for </w:t>
      </w:r>
      <w:r w:rsidR="007B61A3">
        <w:t xml:space="preserve">acquiring and maintaining </w:t>
      </w:r>
      <w:r w:rsidR="00267D1A">
        <w:t xml:space="preserve">an </w:t>
      </w:r>
      <w:r w:rsidR="007B61A3">
        <w:t xml:space="preserve">endorsement to drive </w:t>
      </w:r>
      <w:r w:rsidR="00DB675D">
        <w:t>in the</w:t>
      </w:r>
      <w:r w:rsidR="007B61A3">
        <w:t xml:space="preserve"> </w:t>
      </w:r>
      <w:r w:rsidR="0054547F">
        <w:t>Air Operation</w:t>
      </w:r>
      <w:r w:rsidR="009003BF">
        <w:t>s Area (AOA).</w:t>
      </w:r>
      <w:r w:rsidR="008F7064">
        <w:t xml:space="preserve"> </w:t>
      </w:r>
    </w:p>
    <w:p w14:paraId="74CF9FCA" w14:textId="11633FCB" w:rsidR="0028729D" w:rsidRPr="000024CD" w:rsidRDefault="0028729D" w:rsidP="007B61A3">
      <w:pPr>
        <w:pStyle w:val="Heading2"/>
      </w:pPr>
      <w:r w:rsidRPr="000024CD">
        <w:t xml:space="preserve">Key Definitions:  </w:t>
      </w:r>
    </w:p>
    <w:p w14:paraId="6750CBE9" w14:textId="33C5CD7D" w:rsidR="00D45245" w:rsidRDefault="007B61A3" w:rsidP="00D45245">
      <w:pPr>
        <w:pStyle w:val="ListParagraph"/>
        <w:numPr>
          <w:ilvl w:val="0"/>
          <w:numId w:val="1"/>
        </w:numPr>
      </w:pPr>
      <w:r>
        <w:rPr>
          <w:b/>
          <w:bCs/>
        </w:rPr>
        <w:t>AOA</w:t>
      </w:r>
      <w:r w:rsidRPr="007B61A3">
        <w:t>:</w:t>
      </w:r>
      <w:r>
        <w:t xml:space="preserve"> Air Operations Area</w:t>
      </w:r>
      <w:r w:rsidR="00857D88">
        <w:t xml:space="preserve">. All areas within the </w:t>
      </w:r>
      <w:r w:rsidR="00B72AE9">
        <w:t>security</w:t>
      </w:r>
      <w:r w:rsidR="00D71EEE">
        <w:t xml:space="preserve"> perimeter</w:t>
      </w:r>
      <w:r w:rsidR="00B033DF">
        <w:t xml:space="preserve">. </w:t>
      </w:r>
      <w:r w:rsidR="009B3073">
        <w:t>Any</w:t>
      </w:r>
      <w:r w:rsidR="009F2DF0">
        <w:t xml:space="preserve">one that drives </w:t>
      </w:r>
      <w:r w:rsidR="00DB675D">
        <w:t>in the</w:t>
      </w:r>
      <w:r w:rsidR="009F2DF0">
        <w:t xml:space="preserve"> AOA needs to receive train</w:t>
      </w:r>
      <w:r w:rsidR="00F7629C">
        <w:t>ing</w:t>
      </w:r>
      <w:r w:rsidR="00483E42">
        <w:t xml:space="preserve">.  The training and testing required differs for the Non-Movement Area and Movement Area. </w:t>
      </w:r>
    </w:p>
    <w:p w14:paraId="570AF4DB" w14:textId="43694C0F" w:rsidR="00153ED6" w:rsidRDefault="00B0787A" w:rsidP="00D45245">
      <w:pPr>
        <w:pStyle w:val="ListParagraph"/>
        <w:numPr>
          <w:ilvl w:val="0"/>
          <w:numId w:val="1"/>
        </w:numPr>
      </w:pPr>
      <w:r>
        <w:rPr>
          <w:b/>
          <w:bCs/>
        </w:rPr>
        <w:t>MSP Driver’s License</w:t>
      </w:r>
      <w:r w:rsidRPr="00B0787A">
        <w:t>:</w:t>
      </w:r>
      <w:r>
        <w:t xml:space="preserve"> A certification issued by MAC granting the privilege to operate a vehicle </w:t>
      </w:r>
      <w:r w:rsidR="00DB675D">
        <w:t>in the</w:t>
      </w:r>
      <w:r>
        <w:t xml:space="preserve"> AOA. </w:t>
      </w:r>
    </w:p>
    <w:p w14:paraId="087DEEE1" w14:textId="073AB182" w:rsidR="00B0787A" w:rsidRDefault="00B0787A" w:rsidP="00D45245">
      <w:pPr>
        <w:pStyle w:val="ListParagraph"/>
        <w:numPr>
          <w:ilvl w:val="0"/>
          <w:numId w:val="1"/>
        </w:numPr>
      </w:pPr>
      <w:r>
        <w:rPr>
          <w:b/>
          <w:bCs/>
        </w:rPr>
        <w:t>Endorsement</w:t>
      </w:r>
      <w:r w:rsidRPr="00B0787A">
        <w:t>:</w:t>
      </w:r>
      <w:r>
        <w:t xml:space="preserve"> </w:t>
      </w:r>
      <w:r w:rsidR="008B7662">
        <w:t xml:space="preserve">The level of driving privileges granted by an MSP Driver’s License. </w:t>
      </w:r>
    </w:p>
    <w:p w14:paraId="6EB64037" w14:textId="233EAE6E" w:rsidR="00ED6891" w:rsidRDefault="00ED6891" w:rsidP="00ED6891">
      <w:pPr>
        <w:pStyle w:val="ListParagraph"/>
        <w:numPr>
          <w:ilvl w:val="0"/>
          <w:numId w:val="1"/>
        </w:numPr>
      </w:pPr>
      <w:r>
        <w:rPr>
          <w:b/>
          <w:bCs/>
        </w:rPr>
        <w:t>Non</w:t>
      </w:r>
      <w:r w:rsidRPr="007B61A3">
        <w:rPr>
          <w:b/>
          <w:bCs/>
        </w:rPr>
        <w:t>-Movement Area</w:t>
      </w:r>
      <w:r>
        <w:t xml:space="preserve">: </w:t>
      </w:r>
    </w:p>
    <w:p w14:paraId="25DEA902" w14:textId="0DC4E89A" w:rsidR="00CF06DC" w:rsidRPr="001D6216" w:rsidRDefault="00CF06DC" w:rsidP="00ED689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D6216">
        <w:rPr>
          <w:sz w:val="20"/>
          <w:szCs w:val="20"/>
        </w:rPr>
        <w:t xml:space="preserve">The Non-Movement </w:t>
      </w:r>
      <w:r w:rsidR="00A7657F">
        <w:rPr>
          <w:sz w:val="20"/>
          <w:szCs w:val="20"/>
        </w:rPr>
        <w:t>A</w:t>
      </w:r>
      <w:r w:rsidRPr="001D6216">
        <w:rPr>
          <w:sz w:val="20"/>
          <w:szCs w:val="20"/>
        </w:rPr>
        <w:t xml:space="preserve">rea includes all </w:t>
      </w:r>
      <w:r w:rsidR="00E36D40" w:rsidRPr="001D6216">
        <w:rPr>
          <w:sz w:val="20"/>
          <w:szCs w:val="20"/>
        </w:rPr>
        <w:t>ramps, roadways and the tug drives</w:t>
      </w:r>
      <w:r w:rsidR="00F039CF" w:rsidRPr="001D6216">
        <w:rPr>
          <w:sz w:val="20"/>
          <w:szCs w:val="20"/>
        </w:rPr>
        <w:t xml:space="preserve">. </w:t>
      </w:r>
    </w:p>
    <w:p w14:paraId="60CA6335" w14:textId="52CB9C89" w:rsidR="00ED6891" w:rsidRPr="00D45245" w:rsidRDefault="00C10BA7" w:rsidP="00ED6891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Anyone that drives in the Non-Movement Area</w:t>
      </w:r>
      <w:r w:rsidR="00ED6891" w:rsidRPr="00D45245">
        <w:rPr>
          <w:sz w:val="20"/>
          <w:szCs w:val="20"/>
        </w:rPr>
        <w:t xml:space="preserve"> must </w:t>
      </w:r>
      <w:r w:rsidR="00ED6891">
        <w:rPr>
          <w:sz w:val="20"/>
          <w:szCs w:val="20"/>
        </w:rPr>
        <w:t xml:space="preserve">complete </w:t>
      </w:r>
      <w:r w:rsidR="00DC4553">
        <w:rPr>
          <w:sz w:val="20"/>
          <w:szCs w:val="20"/>
        </w:rPr>
        <w:t xml:space="preserve">initial </w:t>
      </w:r>
      <w:r w:rsidR="00ED6891">
        <w:rPr>
          <w:sz w:val="20"/>
          <w:szCs w:val="20"/>
        </w:rPr>
        <w:t>training</w:t>
      </w:r>
      <w:r w:rsidR="00ED6891" w:rsidRPr="00D45245">
        <w:rPr>
          <w:sz w:val="20"/>
          <w:szCs w:val="20"/>
        </w:rPr>
        <w:t xml:space="preserve"> and renew every 24 months</w:t>
      </w:r>
      <w:r w:rsidR="00DC4553">
        <w:rPr>
          <w:sz w:val="20"/>
          <w:szCs w:val="20"/>
        </w:rPr>
        <w:t>.</w:t>
      </w:r>
    </w:p>
    <w:p w14:paraId="3F9F4DB0" w14:textId="09132C17" w:rsidR="00ED6891" w:rsidRPr="00CF06DC" w:rsidRDefault="00ED6891" w:rsidP="00CF06D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23028">
        <w:rPr>
          <w:b/>
          <w:bCs/>
          <w:sz w:val="20"/>
          <w:szCs w:val="20"/>
        </w:rPr>
        <w:t>Ramp</w:t>
      </w:r>
      <w:r w:rsidR="00E2658F">
        <w:rPr>
          <w:b/>
          <w:bCs/>
          <w:sz w:val="20"/>
          <w:szCs w:val="20"/>
        </w:rPr>
        <w:t>/</w:t>
      </w:r>
      <w:r w:rsidRPr="00E23028">
        <w:rPr>
          <w:b/>
          <w:bCs/>
          <w:sz w:val="20"/>
          <w:szCs w:val="20"/>
        </w:rPr>
        <w:t>Road</w:t>
      </w:r>
      <w:r w:rsidRPr="00E23028">
        <w:rPr>
          <w:sz w:val="20"/>
          <w:szCs w:val="20"/>
        </w:rPr>
        <w:t xml:space="preserve">: </w:t>
      </w:r>
      <w:r w:rsidR="00E23229">
        <w:rPr>
          <w:sz w:val="20"/>
          <w:szCs w:val="20"/>
        </w:rPr>
        <w:t>This endorsement a</w:t>
      </w:r>
      <w:r w:rsidRPr="00E23028">
        <w:rPr>
          <w:sz w:val="20"/>
          <w:szCs w:val="20"/>
        </w:rPr>
        <w:t xml:space="preserve">uthorizes the driver to operate a vehicle only </w:t>
      </w:r>
      <w:r w:rsidR="00DB675D">
        <w:rPr>
          <w:sz w:val="20"/>
          <w:szCs w:val="20"/>
        </w:rPr>
        <w:t>in the</w:t>
      </w:r>
      <w:r w:rsidRPr="00E23028">
        <w:rPr>
          <w:sz w:val="20"/>
          <w:szCs w:val="20"/>
        </w:rPr>
        <w:t xml:space="preserve"> non-movement areas.</w:t>
      </w:r>
    </w:p>
    <w:p w14:paraId="4E72401A" w14:textId="77777777" w:rsidR="00D45245" w:rsidRDefault="007B61A3" w:rsidP="00D45245">
      <w:pPr>
        <w:pStyle w:val="ListParagraph"/>
        <w:numPr>
          <w:ilvl w:val="0"/>
          <w:numId w:val="1"/>
        </w:numPr>
      </w:pPr>
      <w:r w:rsidRPr="00D45245">
        <w:rPr>
          <w:b/>
          <w:bCs/>
        </w:rPr>
        <w:t>Movement Area</w:t>
      </w:r>
      <w:r w:rsidRPr="007B61A3">
        <w:t>:</w:t>
      </w:r>
      <w:r>
        <w:t xml:space="preserve">  </w:t>
      </w:r>
    </w:p>
    <w:p w14:paraId="0F52A812" w14:textId="521D4141" w:rsidR="001C5CF9" w:rsidRPr="00287AFB" w:rsidRDefault="00E1365B" w:rsidP="00D4524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87AFB">
        <w:rPr>
          <w:sz w:val="20"/>
          <w:szCs w:val="20"/>
        </w:rPr>
        <w:t>The Movement Area includes runways, taxiways, and safety areas</w:t>
      </w:r>
      <w:r w:rsidR="00246FC6" w:rsidRPr="00287AFB">
        <w:rPr>
          <w:sz w:val="20"/>
          <w:szCs w:val="20"/>
        </w:rPr>
        <w:t>.</w:t>
      </w:r>
      <w:r w:rsidR="003C4942" w:rsidRPr="00287AFB">
        <w:rPr>
          <w:sz w:val="20"/>
          <w:szCs w:val="20"/>
        </w:rPr>
        <w:t xml:space="preserve">  </w:t>
      </w:r>
      <w:r w:rsidR="00D77425">
        <w:rPr>
          <w:sz w:val="20"/>
          <w:szCs w:val="20"/>
        </w:rPr>
        <w:t>Access to the Movement Area is limited</w:t>
      </w:r>
      <w:r w:rsidR="008F363C">
        <w:rPr>
          <w:sz w:val="20"/>
          <w:szCs w:val="20"/>
        </w:rPr>
        <w:t xml:space="preserve"> to those drivers</w:t>
      </w:r>
      <w:r w:rsidR="0081567F">
        <w:rPr>
          <w:sz w:val="20"/>
          <w:szCs w:val="20"/>
        </w:rPr>
        <w:t xml:space="preserve"> with an operational need</w:t>
      </w:r>
      <w:r w:rsidR="00AD0AD9">
        <w:rPr>
          <w:sz w:val="20"/>
          <w:szCs w:val="20"/>
        </w:rPr>
        <w:t xml:space="preserve">. </w:t>
      </w:r>
      <w:r w:rsidR="00287AFB" w:rsidRPr="00287AFB">
        <w:rPr>
          <w:sz w:val="20"/>
          <w:szCs w:val="20"/>
        </w:rPr>
        <w:t xml:space="preserve"> </w:t>
      </w:r>
    </w:p>
    <w:p w14:paraId="533C4331" w14:textId="77777777" w:rsidR="00B56EAC" w:rsidRPr="006F75D2" w:rsidRDefault="00B56EAC" w:rsidP="00B56EAC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Movement Area</w:t>
      </w:r>
      <w:r w:rsidRPr="00D452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drivers </w:t>
      </w:r>
      <w:r w:rsidRPr="00D45245">
        <w:rPr>
          <w:sz w:val="20"/>
          <w:szCs w:val="20"/>
        </w:rPr>
        <w:t xml:space="preserve">must </w:t>
      </w:r>
      <w:r>
        <w:rPr>
          <w:sz w:val="20"/>
          <w:szCs w:val="20"/>
        </w:rPr>
        <w:t>complete initial training</w:t>
      </w:r>
      <w:r w:rsidRPr="00D45245">
        <w:rPr>
          <w:sz w:val="20"/>
          <w:szCs w:val="20"/>
        </w:rPr>
        <w:t xml:space="preserve"> and renew every 12 months</w:t>
      </w:r>
      <w:r>
        <w:rPr>
          <w:sz w:val="20"/>
          <w:szCs w:val="20"/>
        </w:rPr>
        <w:t>.</w:t>
      </w:r>
    </w:p>
    <w:p w14:paraId="7CB208BC" w14:textId="1BD81A23" w:rsidR="006F75D2" w:rsidRPr="00E86CA9" w:rsidRDefault="006F75D2" w:rsidP="006F75D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86CA9">
        <w:rPr>
          <w:sz w:val="20"/>
          <w:szCs w:val="20"/>
        </w:rPr>
        <w:t xml:space="preserve">Movement Area drivers also need to complete the Non-Movement Area training once every 24 months. </w:t>
      </w:r>
    </w:p>
    <w:p w14:paraId="58B2C690" w14:textId="77777777" w:rsidR="00815241" w:rsidRPr="00815241" w:rsidRDefault="00386008" w:rsidP="00D45245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 xml:space="preserve">Movement Area drivers </w:t>
      </w:r>
      <w:r w:rsidR="00F12359">
        <w:rPr>
          <w:sz w:val="20"/>
          <w:szCs w:val="20"/>
        </w:rPr>
        <w:t xml:space="preserve">will receive one of the endorsements listed below.  </w:t>
      </w:r>
    </w:p>
    <w:p w14:paraId="7B8D73D6" w14:textId="6E0F2D6F" w:rsidR="00B56EAC" w:rsidRPr="00B56EAC" w:rsidRDefault="00B56EAC" w:rsidP="00B56EA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D7137F">
        <w:rPr>
          <w:b/>
          <w:bCs/>
          <w:sz w:val="20"/>
          <w:szCs w:val="20"/>
        </w:rPr>
        <w:t>Runway</w:t>
      </w:r>
      <w:r>
        <w:rPr>
          <w:sz w:val="20"/>
          <w:szCs w:val="20"/>
        </w:rPr>
        <w:t>:</w:t>
      </w:r>
      <w:r w:rsidR="00D7137F">
        <w:rPr>
          <w:sz w:val="20"/>
          <w:szCs w:val="20"/>
        </w:rPr>
        <w:t xml:space="preserve"> </w:t>
      </w:r>
      <w:r w:rsidR="00D7137F" w:rsidRPr="00E23028">
        <w:rPr>
          <w:sz w:val="20"/>
          <w:szCs w:val="20"/>
        </w:rPr>
        <w:t xml:space="preserve">Authorizes the driver to operate a vehicle on all </w:t>
      </w:r>
      <w:r w:rsidR="00D7137F">
        <w:rPr>
          <w:sz w:val="20"/>
          <w:szCs w:val="20"/>
        </w:rPr>
        <w:t xml:space="preserve">runways, </w:t>
      </w:r>
      <w:r w:rsidR="00D7137F" w:rsidRPr="00E23028">
        <w:rPr>
          <w:sz w:val="20"/>
          <w:szCs w:val="20"/>
        </w:rPr>
        <w:t>taxiway</w:t>
      </w:r>
      <w:r w:rsidR="00CA02E1">
        <w:rPr>
          <w:sz w:val="20"/>
          <w:szCs w:val="20"/>
        </w:rPr>
        <w:t>s and</w:t>
      </w:r>
      <w:r w:rsidR="00D7137F" w:rsidRPr="00E23028">
        <w:rPr>
          <w:sz w:val="20"/>
          <w:szCs w:val="20"/>
        </w:rPr>
        <w:t xml:space="preserve"> safety areas at MSP</w:t>
      </w:r>
      <w:r w:rsidR="006B458A">
        <w:rPr>
          <w:sz w:val="20"/>
          <w:szCs w:val="20"/>
        </w:rPr>
        <w:t xml:space="preserve">. This </w:t>
      </w:r>
      <w:r w:rsidR="008433E9">
        <w:rPr>
          <w:sz w:val="20"/>
          <w:szCs w:val="20"/>
        </w:rPr>
        <w:t>endorsement</w:t>
      </w:r>
      <w:r w:rsidR="00C81E25">
        <w:rPr>
          <w:sz w:val="20"/>
          <w:szCs w:val="20"/>
        </w:rPr>
        <w:t xml:space="preserve"> is not </w:t>
      </w:r>
      <w:r w:rsidR="008433E9">
        <w:rPr>
          <w:sz w:val="20"/>
          <w:szCs w:val="20"/>
        </w:rPr>
        <w:t>intended for tug operators</w:t>
      </w:r>
      <w:r w:rsidR="005C2C66">
        <w:rPr>
          <w:sz w:val="20"/>
          <w:szCs w:val="20"/>
        </w:rPr>
        <w:t xml:space="preserve"> as they require a Pushback or Tow endorsement</w:t>
      </w:r>
      <w:r w:rsidR="00D7137F" w:rsidRPr="00E23028">
        <w:rPr>
          <w:sz w:val="20"/>
          <w:szCs w:val="20"/>
        </w:rPr>
        <w:t>.</w:t>
      </w:r>
    </w:p>
    <w:p w14:paraId="0C0078F4" w14:textId="61FE2646" w:rsidR="00D45245" w:rsidRPr="00E23028" w:rsidRDefault="00D45245" w:rsidP="00B56EA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23028">
        <w:rPr>
          <w:b/>
          <w:bCs/>
          <w:sz w:val="20"/>
          <w:szCs w:val="20"/>
        </w:rPr>
        <w:t>Taxiway</w:t>
      </w:r>
      <w:r w:rsidRPr="00E23028">
        <w:rPr>
          <w:sz w:val="20"/>
          <w:szCs w:val="20"/>
        </w:rPr>
        <w:t>: Authorizes the driver to operate a vehicle on all taxiways and taxiway safety areas at MSP.</w:t>
      </w:r>
      <w:r w:rsidR="002E3198">
        <w:rPr>
          <w:sz w:val="20"/>
          <w:szCs w:val="20"/>
        </w:rPr>
        <w:t xml:space="preserve"> This endorsement is not intended for tug operators as they require a Pushback or Tow endorsement</w:t>
      </w:r>
      <w:r w:rsidR="002E3198" w:rsidRPr="00E23028">
        <w:rPr>
          <w:sz w:val="20"/>
          <w:szCs w:val="20"/>
        </w:rPr>
        <w:t>.</w:t>
      </w:r>
    </w:p>
    <w:p w14:paraId="092CE6C3" w14:textId="77777777" w:rsidR="00D45245" w:rsidRPr="00E23028" w:rsidRDefault="00D45245" w:rsidP="00B56EA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23028">
        <w:rPr>
          <w:b/>
          <w:bCs/>
          <w:sz w:val="20"/>
          <w:szCs w:val="20"/>
        </w:rPr>
        <w:t>Limited Taxiway – Military</w:t>
      </w:r>
      <w:r w:rsidRPr="00E23028">
        <w:rPr>
          <w:sz w:val="20"/>
          <w:szCs w:val="20"/>
        </w:rPr>
        <w:t>:  Authorizes the driver to operate a vehicle on all taxiways North of Runway 12L/30R.</w:t>
      </w:r>
    </w:p>
    <w:p w14:paraId="034CAB7B" w14:textId="77777777" w:rsidR="00253899" w:rsidRPr="00CB1C61" w:rsidRDefault="00253899" w:rsidP="00CB1C61">
      <w:pPr>
        <w:pStyle w:val="ListParagraph"/>
        <w:numPr>
          <w:ilvl w:val="2"/>
          <w:numId w:val="1"/>
        </w:numPr>
        <w:rPr>
          <w:color w:val="000000" w:themeColor="text1"/>
          <w:sz w:val="20"/>
          <w:szCs w:val="20"/>
        </w:rPr>
      </w:pPr>
      <w:r w:rsidRPr="00CB1C61">
        <w:rPr>
          <w:b/>
          <w:bCs/>
          <w:color w:val="000000" w:themeColor="text1"/>
          <w:sz w:val="20"/>
          <w:szCs w:val="20"/>
        </w:rPr>
        <w:t>Tow</w:t>
      </w:r>
      <w:r w:rsidRPr="00CB1C61">
        <w:rPr>
          <w:color w:val="000000" w:themeColor="text1"/>
          <w:sz w:val="20"/>
          <w:szCs w:val="20"/>
        </w:rPr>
        <w:t xml:space="preserve">:  Authorizes the driver to tow aircraft on all taxiways and runways. This endorsement also allows non-Flight Crew Persons to serve as an Aircraft Taxi Operator or Brake Rider. </w:t>
      </w:r>
    </w:p>
    <w:p w14:paraId="2F5B4D86" w14:textId="77777777" w:rsidR="00253899" w:rsidRPr="00CB1C61" w:rsidRDefault="00253899" w:rsidP="00CB1C61">
      <w:pPr>
        <w:pStyle w:val="ListParagraph"/>
        <w:numPr>
          <w:ilvl w:val="2"/>
          <w:numId w:val="1"/>
        </w:numPr>
        <w:rPr>
          <w:color w:val="000000" w:themeColor="text1"/>
          <w:sz w:val="20"/>
          <w:szCs w:val="20"/>
        </w:rPr>
      </w:pPr>
      <w:r w:rsidRPr="00CB1C61">
        <w:rPr>
          <w:b/>
          <w:bCs/>
          <w:color w:val="000000" w:themeColor="text1"/>
          <w:sz w:val="20"/>
          <w:szCs w:val="20"/>
        </w:rPr>
        <w:t>Limited Tow – Terminal 1</w:t>
      </w:r>
      <w:r w:rsidRPr="00CB1C61">
        <w:rPr>
          <w:color w:val="000000" w:themeColor="text1"/>
          <w:sz w:val="20"/>
          <w:szCs w:val="20"/>
        </w:rPr>
        <w:t xml:space="preserve">:  Authorizes the driver to tow/taxi aircraft only on taxiways between runways 12L/30R and 12R/30L. </w:t>
      </w:r>
    </w:p>
    <w:p w14:paraId="5CB9DE3B" w14:textId="77777777" w:rsidR="00253899" w:rsidRPr="00CB1C61" w:rsidRDefault="00253899" w:rsidP="00CB1C61">
      <w:pPr>
        <w:pStyle w:val="ListParagraph"/>
        <w:numPr>
          <w:ilvl w:val="2"/>
          <w:numId w:val="1"/>
        </w:numPr>
        <w:rPr>
          <w:color w:val="000000" w:themeColor="text1"/>
          <w:sz w:val="20"/>
          <w:szCs w:val="20"/>
        </w:rPr>
      </w:pPr>
      <w:r w:rsidRPr="00CB1C61">
        <w:rPr>
          <w:b/>
          <w:bCs/>
          <w:color w:val="000000" w:themeColor="text1"/>
          <w:sz w:val="20"/>
          <w:szCs w:val="20"/>
        </w:rPr>
        <w:t>Limited Tow – Terminal 2</w:t>
      </w:r>
      <w:r w:rsidRPr="00CB1C61">
        <w:rPr>
          <w:color w:val="000000" w:themeColor="text1"/>
          <w:sz w:val="20"/>
          <w:szCs w:val="20"/>
        </w:rPr>
        <w:t>: Authorizes the driver to tow/taxi aircraft only on taxiways South and West of runway 12R/30L.</w:t>
      </w:r>
    </w:p>
    <w:p w14:paraId="618F5207" w14:textId="77777777" w:rsidR="00253899" w:rsidRPr="00CB1C61" w:rsidRDefault="00253899" w:rsidP="00CB1C61">
      <w:pPr>
        <w:pStyle w:val="ListParagraph"/>
        <w:numPr>
          <w:ilvl w:val="2"/>
          <w:numId w:val="1"/>
        </w:numPr>
        <w:rPr>
          <w:color w:val="000000" w:themeColor="text1"/>
          <w:sz w:val="20"/>
          <w:szCs w:val="20"/>
        </w:rPr>
      </w:pPr>
      <w:r w:rsidRPr="00CB1C61">
        <w:rPr>
          <w:b/>
          <w:bCs/>
          <w:color w:val="000000" w:themeColor="text1"/>
          <w:sz w:val="20"/>
          <w:szCs w:val="20"/>
        </w:rPr>
        <w:t>Limited Tow – Infield Cargo</w:t>
      </w:r>
      <w:r w:rsidRPr="00CB1C61">
        <w:rPr>
          <w:color w:val="000000" w:themeColor="text1"/>
          <w:sz w:val="20"/>
          <w:szCs w:val="20"/>
        </w:rPr>
        <w:t>:  Authorizes the driver to tow/taxi aircraft only on taxiway T between taxiways M and Y.</w:t>
      </w:r>
    </w:p>
    <w:p w14:paraId="524AB327" w14:textId="77777777" w:rsidR="00253899" w:rsidRPr="00CB1C61" w:rsidRDefault="00253899" w:rsidP="00CB1C61">
      <w:pPr>
        <w:pStyle w:val="ListParagraph"/>
        <w:numPr>
          <w:ilvl w:val="2"/>
          <w:numId w:val="1"/>
        </w:numPr>
        <w:rPr>
          <w:color w:val="000000" w:themeColor="text1"/>
          <w:sz w:val="20"/>
          <w:szCs w:val="20"/>
        </w:rPr>
      </w:pPr>
      <w:r w:rsidRPr="00CB1C61">
        <w:rPr>
          <w:b/>
          <w:bCs/>
          <w:color w:val="000000" w:themeColor="text1"/>
          <w:sz w:val="20"/>
          <w:szCs w:val="20"/>
        </w:rPr>
        <w:t>Limited Tow – Military</w:t>
      </w:r>
      <w:r w:rsidRPr="00CB1C61">
        <w:rPr>
          <w:color w:val="000000" w:themeColor="text1"/>
          <w:sz w:val="20"/>
          <w:szCs w:val="20"/>
        </w:rPr>
        <w:t>:  Authorizes the driver to tow/taxi aircraft only on taxiways North of runway 12L/30R and on runway 4/22 North of runway 12L/30R.</w:t>
      </w:r>
    </w:p>
    <w:p w14:paraId="57AA5739" w14:textId="04C921D4" w:rsidR="007B61A3" w:rsidRPr="00D45245" w:rsidRDefault="00D45245" w:rsidP="00B56EAC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23028">
        <w:rPr>
          <w:b/>
          <w:bCs/>
          <w:sz w:val="20"/>
          <w:szCs w:val="20"/>
        </w:rPr>
        <w:t>Pushback</w:t>
      </w:r>
      <w:r w:rsidRPr="00E23028">
        <w:rPr>
          <w:sz w:val="20"/>
          <w:szCs w:val="20"/>
        </w:rPr>
        <w:t xml:space="preserve">:  Authorizes the driver to pushback aircraft (and return to the same gate only) anywhere </w:t>
      </w:r>
      <w:r w:rsidR="00DB675D">
        <w:rPr>
          <w:sz w:val="20"/>
          <w:szCs w:val="20"/>
        </w:rPr>
        <w:t>in the</w:t>
      </w:r>
      <w:r w:rsidRPr="00E23028">
        <w:rPr>
          <w:sz w:val="20"/>
          <w:szCs w:val="20"/>
        </w:rPr>
        <w:t xml:space="preserve"> </w:t>
      </w:r>
      <w:r w:rsidR="00DB675D">
        <w:rPr>
          <w:sz w:val="20"/>
          <w:szCs w:val="20"/>
        </w:rPr>
        <w:t>AOA</w:t>
      </w:r>
      <w:r w:rsidRPr="00E23028">
        <w:rPr>
          <w:sz w:val="20"/>
          <w:szCs w:val="20"/>
        </w:rPr>
        <w:t>. This license also authorizes the driver to conduct off-gate deicing.</w:t>
      </w:r>
    </w:p>
    <w:p w14:paraId="4336B69E" w14:textId="42125AA5" w:rsidR="001064F2" w:rsidRDefault="001064F2" w:rsidP="00095B95">
      <w:pPr>
        <w:pStyle w:val="ListParagraph"/>
        <w:numPr>
          <w:ilvl w:val="0"/>
          <w:numId w:val="1"/>
        </w:numPr>
      </w:pPr>
      <w:r>
        <w:rPr>
          <w:b/>
          <w:bCs/>
        </w:rPr>
        <w:t>DTC</w:t>
      </w:r>
      <w:r w:rsidRPr="001064F2">
        <w:t>:</w:t>
      </w:r>
      <w:r>
        <w:t xml:space="preserve"> Drivers</w:t>
      </w:r>
      <w:r w:rsidR="00644D8D">
        <w:t>’</w:t>
      </w:r>
      <w:r>
        <w:t xml:space="preserve"> Training Center</w:t>
      </w:r>
    </w:p>
    <w:p w14:paraId="58A4274B" w14:textId="4789B922" w:rsidR="00695C1F" w:rsidRDefault="00B359C6" w:rsidP="00695C1F">
      <w:pPr>
        <w:pStyle w:val="Heading2"/>
      </w:pPr>
      <w:r>
        <w:rPr>
          <w:color w:val="156082" w:themeColor="accent1"/>
        </w:rPr>
        <w:lastRenderedPageBreak/>
        <w:t xml:space="preserve">Getting Started - Navigating the </w:t>
      </w:r>
      <w:r w:rsidR="00C749AF">
        <w:rPr>
          <w:color w:val="156082" w:themeColor="accent1"/>
        </w:rPr>
        <w:t>MSP Signer Portal</w:t>
      </w:r>
      <w:r w:rsidR="00695C1F" w:rsidRPr="00454F98">
        <w:rPr>
          <w:color w:val="156082" w:themeColor="accent1"/>
        </w:rPr>
        <w:t>.</w:t>
      </w:r>
      <w:r w:rsidR="00695C1F">
        <w:rPr>
          <w:b/>
          <w:bCs/>
          <w:color w:val="156082" w:themeColor="accent1"/>
        </w:rPr>
        <w:t xml:space="preserve"> </w:t>
      </w:r>
    </w:p>
    <w:p w14:paraId="2E7832FC" w14:textId="77777777" w:rsidR="00DE161A" w:rsidRDefault="00695C1F" w:rsidP="00695C1F">
      <w:pPr>
        <w:rPr>
          <w:rStyle w:val="Hyperlink"/>
          <w:u w:val="none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4CDD825C" wp14:editId="68DEDFA8">
            <wp:simplePos x="0" y="0"/>
            <wp:positionH relativeFrom="margin">
              <wp:posOffset>3509114</wp:posOffset>
            </wp:positionH>
            <wp:positionV relativeFrom="paragraph">
              <wp:posOffset>324428</wp:posOffset>
            </wp:positionV>
            <wp:extent cx="2720340" cy="1880870"/>
            <wp:effectExtent l="152400" t="152400" r="365760" b="367030"/>
            <wp:wrapSquare wrapText="bothSides"/>
            <wp:docPr id="8758743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71282" name="Picture 1" descr="A screenshot of a compute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880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When a company authorized signer logs into the </w:t>
      </w:r>
      <w:hyperlink r:id="rId9" w:history="1">
        <w:r w:rsidRPr="00066125">
          <w:rPr>
            <w:rStyle w:val="Hyperlink"/>
          </w:rPr>
          <w:t>MSP Signer Portal</w:t>
        </w:r>
      </w:hyperlink>
      <w:r>
        <w:rPr>
          <w:rStyle w:val="Hyperlink"/>
          <w:u w:val="none"/>
        </w:rPr>
        <w:t xml:space="preserve"> </w:t>
      </w:r>
      <w:r w:rsidRPr="00E838EB">
        <w:t xml:space="preserve">a </w:t>
      </w:r>
      <w:r w:rsidR="00CF6AF8">
        <w:t xml:space="preserve">simple </w:t>
      </w:r>
      <w:r w:rsidRPr="00E838EB">
        <w:t>dashboard will be the first screen displayed.</w:t>
      </w:r>
      <w:r>
        <w:rPr>
          <w:rStyle w:val="Hyperlink"/>
          <w:u w:val="none"/>
        </w:rPr>
        <w:t xml:space="preserve"> </w:t>
      </w:r>
    </w:p>
    <w:p w14:paraId="2C844442" w14:textId="0F00D857" w:rsidR="00695C1F" w:rsidRDefault="00695C1F" w:rsidP="00695C1F">
      <w:r w:rsidRPr="005D58E3">
        <w:t xml:space="preserve">Click on </w:t>
      </w:r>
      <w:r>
        <w:rPr>
          <w:noProof/>
          <w14:ligatures w14:val="none"/>
        </w:rPr>
        <w:drawing>
          <wp:inline distT="0" distB="0" distL="0" distR="0" wp14:anchorId="493720DF" wp14:editId="242C6B1F">
            <wp:extent cx="347980" cy="280035"/>
            <wp:effectExtent l="0" t="0" r="13970" b="5715"/>
            <wp:docPr id="1106608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93B73E9" w14:textId="77777777" w:rsidR="00695C1F" w:rsidRDefault="00695C1F" w:rsidP="00695C1F">
      <w:r>
        <w:t xml:space="preserve">Click on  </w:t>
      </w:r>
      <w:r>
        <w:rPr>
          <w:noProof/>
        </w:rPr>
        <w:drawing>
          <wp:inline distT="0" distB="0" distL="0" distR="0" wp14:anchorId="6B26EC65" wp14:editId="4F47D334">
            <wp:extent cx="286745" cy="286745"/>
            <wp:effectExtent l="0" t="0" r="0" b="0"/>
            <wp:docPr id="2024411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43908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901" cy="28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8DAACFA" w14:textId="2C7E09C5" w:rsidR="00695C1F" w:rsidRPr="00E81CDA" w:rsidRDefault="00695C1F" w:rsidP="00695C1F">
      <w:pPr>
        <w:rPr>
          <w:color w:val="467886" w:themeColor="hyperlink"/>
        </w:rPr>
      </w:pPr>
      <w:r>
        <w:t>You will then see the workflow options for adding new and editing existing employee information</w:t>
      </w:r>
      <w:r w:rsidR="00C749AF">
        <w:t xml:space="preserve"> as outlined below</w:t>
      </w:r>
      <w:r>
        <w:t xml:space="preserve">. </w:t>
      </w:r>
    </w:p>
    <w:p w14:paraId="682ACBE8" w14:textId="77777777" w:rsidR="00695C1F" w:rsidRPr="005D58E3" w:rsidRDefault="00695C1F" w:rsidP="00695C1F"/>
    <w:p w14:paraId="333A24D7" w14:textId="77777777" w:rsidR="00695C1F" w:rsidRDefault="00695C1F" w:rsidP="006956CA">
      <w:pPr>
        <w:pStyle w:val="Heading2"/>
      </w:pPr>
    </w:p>
    <w:p w14:paraId="482D7B30" w14:textId="19E64D8F" w:rsidR="006956CA" w:rsidRDefault="006956CA" w:rsidP="006956CA">
      <w:pPr>
        <w:pStyle w:val="Heading2"/>
      </w:pPr>
      <w:r>
        <w:t xml:space="preserve">Requesting a </w:t>
      </w:r>
      <w:r w:rsidR="00F90D86" w:rsidRPr="006363C3">
        <w:t>Driver’s</w:t>
      </w:r>
      <w:r w:rsidRPr="006363C3">
        <w:t xml:space="preserve"> </w:t>
      </w:r>
      <w:r w:rsidR="006363C3" w:rsidRPr="006363C3">
        <w:t>License</w:t>
      </w:r>
      <w:r w:rsidR="006363C3">
        <w:t xml:space="preserve"> </w:t>
      </w:r>
      <w:r w:rsidR="00B550AE">
        <w:t xml:space="preserve">(Endorsement) </w:t>
      </w:r>
      <w:r w:rsidR="006363C3">
        <w:t xml:space="preserve">for a </w:t>
      </w:r>
      <w:r w:rsidR="006363C3">
        <w:rPr>
          <w:u w:val="single"/>
        </w:rPr>
        <w:t>NEW</w:t>
      </w:r>
      <w:r w:rsidRPr="00ED42E2">
        <w:rPr>
          <w:u w:val="single"/>
        </w:rPr>
        <w:t xml:space="preserve"> </w:t>
      </w:r>
      <w:r w:rsidR="006363C3">
        <w:rPr>
          <w:u w:val="single"/>
        </w:rPr>
        <w:t>EMPLOYEE</w:t>
      </w:r>
    </w:p>
    <w:p w14:paraId="0513AA04" w14:textId="4DEE2D8F" w:rsidR="006956CA" w:rsidRPr="00095B95" w:rsidRDefault="00621822" w:rsidP="006956C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D6DABDD" wp14:editId="74409EE2">
            <wp:simplePos x="0" y="0"/>
            <wp:positionH relativeFrom="column">
              <wp:posOffset>5534167</wp:posOffset>
            </wp:positionH>
            <wp:positionV relativeFrom="paragraph">
              <wp:posOffset>3649</wp:posOffset>
            </wp:positionV>
            <wp:extent cx="1022308" cy="941696"/>
            <wp:effectExtent l="0" t="0" r="6985" b="0"/>
            <wp:wrapSquare wrapText="bothSides"/>
            <wp:docPr id="931442795" name="Picture 1" descr="A picture containing text, electronic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42795" name="Picture 1" descr="A picture containing text, electronic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08" cy="94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FF6">
        <w:t>As part of an employee SIDA Badge request, a</w:t>
      </w:r>
      <w:r w:rsidR="00095B95">
        <w:t xml:space="preserve"> company designated signer must </w:t>
      </w:r>
      <w:r w:rsidR="00995AC7">
        <w:t xml:space="preserve">complete </w:t>
      </w:r>
      <w:r w:rsidR="00DD787D">
        <w:t xml:space="preserve">appropriate fields </w:t>
      </w:r>
      <w:r w:rsidR="00AD1FF6">
        <w:t xml:space="preserve">in the </w:t>
      </w:r>
      <w:hyperlink r:id="rId14" w:history="1">
        <w:r w:rsidR="00AD1FF6" w:rsidRPr="00066125">
          <w:rPr>
            <w:rStyle w:val="Hyperlink"/>
          </w:rPr>
          <w:t>MSP Signer Portal</w:t>
        </w:r>
      </w:hyperlink>
      <w:r w:rsidR="00AD1FF6">
        <w:t xml:space="preserve"> </w:t>
      </w:r>
      <w:r w:rsidR="00121654">
        <w:t>to request</w:t>
      </w:r>
      <w:r w:rsidR="00AD1FF6">
        <w:t xml:space="preserve"> an</w:t>
      </w:r>
      <w:r w:rsidR="00095B95">
        <w:t xml:space="preserve"> MSP Driver’s License</w:t>
      </w:r>
      <w:r w:rsidR="0034657C">
        <w:t>.</w:t>
      </w:r>
      <w:r w:rsidR="00095B95">
        <w:rPr>
          <w:rStyle w:val="Hyperlink"/>
        </w:rPr>
        <w:t xml:space="preserve"> </w:t>
      </w:r>
    </w:p>
    <w:p w14:paraId="73F4EEB7" w14:textId="7A498861" w:rsidR="00095B95" w:rsidRDefault="004111C3" w:rsidP="006956CA">
      <w:pPr>
        <w:pStyle w:val="ListParagraph"/>
        <w:numPr>
          <w:ilvl w:val="0"/>
          <w:numId w:val="1"/>
        </w:numPr>
      </w:pPr>
      <w:r>
        <w:t xml:space="preserve">By </w:t>
      </w:r>
      <w:r w:rsidR="00115F8A">
        <w:t>selecting</w:t>
      </w:r>
      <w:r w:rsidR="006D54BB">
        <w:t xml:space="preserve"> YES</w:t>
      </w:r>
      <w:r w:rsidR="006A614F">
        <w:t xml:space="preserve"> to “Does the Applicant require Airport Operations Areas (AOA) driving</w:t>
      </w:r>
      <w:r w:rsidR="00421AF7">
        <w:t>”, t</w:t>
      </w:r>
      <w:r w:rsidR="00095B95">
        <w:t xml:space="preserve">he following required fields </w:t>
      </w:r>
      <w:r w:rsidR="00421AF7">
        <w:t>will be displayed</w:t>
      </w:r>
      <w:r w:rsidR="00095B95">
        <w:t>.</w:t>
      </w:r>
      <w:r w:rsidR="00095B95" w:rsidRPr="003C68C0">
        <w:rPr>
          <w:b/>
          <w:bCs/>
        </w:rPr>
        <w:t xml:space="preserve"> </w:t>
      </w:r>
    </w:p>
    <w:p w14:paraId="4FE17515" w14:textId="4DEA417B" w:rsidR="00095B95" w:rsidRDefault="00095B95" w:rsidP="00095B95">
      <w:pPr>
        <w:pStyle w:val="ListParagraph"/>
        <w:numPr>
          <w:ilvl w:val="1"/>
          <w:numId w:val="1"/>
        </w:numPr>
      </w:pPr>
      <w:r w:rsidRPr="00095B95">
        <w:rPr>
          <w:b/>
          <w:bCs/>
        </w:rPr>
        <w:t>AOA Drive</w:t>
      </w:r>
      <w:r w:rsidR="00DA5FE4">
        <w:rPr>
          <w:b/>
          <w:bCs/>
        </w:rPr>
        <w:t>r</w:t>
      </w:r>
      <w:r w:rsidR="001D61B5">
        <w:rPr>
          <w:b/>
          <w:bCs/>
        </w:rPr>
        <w:t>’</w:t>
      </w:r>
      <w:r w:rsidRPr="00095B95">
        <w:rPr>
          <w:b/>
          <w:bCs/>
        </w:rPr>
        <w:t>s License Type Required</w:t>
      </w:r>
      <w:r>
        <w:t xml:space="preserve">:  See above definitions to determine employee driving needs.  </w:t>
      </w:r>
    </w:p>
    <w:p w14:paraId="56E8ADD7" w14:textId="4ED5EE37" w:rsidR="00095B95" w:rsidRDefault="00095B95" w:rsidP="00095B95">
      <w:pPr>
        <w:pStyle w:val="ListParagraph"/>
        <w:numPr>
          <w:ilvl w:val="1"/>
          <w:numId w:val="1"/>
        </w:numPr>
      </w:pPr>
      <w:r w:rsidRPr="00095B95">
        <w:rPr>
          <w:b/>
          <w:bCs/>
        </w:rPr>
        <w:t xml:space="preserve">Valid State </w:t>
      </w:r>
      <w:r w:rsidR="00AC7F52" w:rsidRPr="00095B95">
        <w:rPr>
          <w:b/>
          <w:bCs/>
        </w:rPr>
        <w:t>Driver’s</w:t>
      </w:r>
      <w:r w:rsidRPr="00095B95">
        <w:rPr>
          <w:b/>
          <w:bCs/>
        </w:rPr>
        <w:t xml:space="preserve"> License</w:t>
      </w:r>
      <w:r>
        <w:t xml:space="preserve">: It is the company’s responsibility to ensure the employee has a valid state </w:t>
      </w:r>
      <w:r w:rsidR="00AC7F52">
        <w:t>driver’s</w:t>
      </w:r>
      <w:r>
        <w:t xml:space="preserve"> license.  This includes making sure it is not suspended, revoked or </w:t>
      </w:r>
      <w:r w:rsidR="00E170B8">
        <w:t xml:space="preserve">restricted.  </w:t>
      </w:r>
    </w:p>
    <w:p w14:paraId="19096E8E" w14:textId="4DC3A0D5" w:rsidR="006752B7" w:rsidRPr="006752B7" w:rsidRDefault="006752B7" w:rsidP="00095B95">
      <w:pPr>
        <w:pStyle w:val="ListParagraph"/>
        <w:numPr>
          <w:ilvl w:val="1"/>
          <w:numId w:val="1"/>
        </w:numPr>
      </w:pPr>
      <w:r>
        <w:rPr>
          <w:b/>
          <w:bCs/>
        </w:rPr>
        <w:t>Employee Supervisor/Manager</w:t>
      </w:r>
      <w:r w:rsidR="00B81FB0">
        <w:rPr>
          <w:b/>
          <w:bCs/>
        </w:rPr>
        <w:t>s</w:t>
      </w:r>
      <w:r>
        <w:rPr>
          <w:b/>
          <w:bCs/>
        </w:rPr>
        <w:t xml:space="preserve"> name</w:t>
      </w:r>
    </w:p>
    <w:p w14:paraId="12C762A1" w14:textId="7ABEECBA" w:rsidR="00B64F06" w:rsidRDefault="006752B7" w:rsidP="00786110">
      <w:pPr>
        <w:pStyle w:val="ListParagraph"/>
        <w:numPr>
          <w:ilvl w:val="1"/>
          <w:numId w:val="1"/>
        </w:numPr>
      </w:pPr>
      <w:r>
        <w:rPr>
          <w:b/>
          <w:bCs/>
        </w:rPr>
        <w:t>Employee Supervisor/Managers email</w:t>
      </w:r>
    </w:p>
    <w:p w14:paraId="59F7736B" w14:textId="562B5417" w:rsidR="006956CA" w:rsidRDefault="006956CA" w:rsidP="006956CA">
      <w:pPr>
        <w:pStyle w:val="Heading2"/>
      </w:pPr>
      <w:r>
        <w:t>Changing Drivers information or status</w:t>
      </w:r>
      <w:r w:rsidR="006363C3">
        <w:t xml:space="preserve"> for an</w:t>
      </w:r>
      <w:r>
        <w:t xml:space="preserve"> </w:t>
      </w:r>
      <w:r w:rsidR="006363C3">
        <w:rPr>
          <w:u w:val="single"/>
        </w:rPr>
        <w:t>EXISTING</w:t>
      </w:r>
      <w:r w:rsidRPr="00ED42E2">
        <w:rPr>
          <w:u w:val="single"/>
        </w:rPr>
        <w:t xml:space="preserve"> </w:t>
      </w:r>
      <w:r w:rsidR="006363C3">
        <w:rPr>
          <w:u w:val="single"/>
        </w:rPr>
        <w:t>EMPLOYEE</w:t>
      </w:r>
    </w:p>
    <w:p w14:paraId="2C4FC79B" w14:textId="4EC0B76C" w:rsidR="006956CA" w:rsidRPr="006301B5" w:rsidRDefault="00095B95" w:rsidP="006956CA">
      <w:pPr>
        <w:pStyle w:val="ListParagraph"/>
        <w:numPr>
          <w:ilvl w:val="0"/>
          <w:numId w:val="1"/>
        </w:numPr>
      </w:pPr>
      <w:r>
        <w:t xml:space="preserve">A company designated signer must </w:t>
      </w:r>
      <w:r w:rsidR="00FA3334">
        <w:t xml:space="preserve">immediately </w:t>
      </w:r>
      <w:r>
        <w:t xml:space="preserve">submit the </w:t>
      </w:r>
      <w:r w:rsidR="001D393D">
        <w:t xml:space="preserve">following </w:t>
      </w:r>
      <w:r w:rsidR="00BB6FF3">
        <w:t>updates</w:t>
      </w:r>
      <w:r>
        <w:t xml:space="preserve"> in the </w:t>
      </w:r>
      <w:hyperlink r:id="rId15" w:history="1">
        <w:r w:rsidRPr="00066125">
          <w:rPr>
            <w:rStyle w:val="Hyperlink"/>
          </w:rPr>
          <w:t>MSP Signer Portal</w:t>
        </w:r>
      </w:hyperlink>
      <w:r w:rsidR="0072486D" w:rsidRPr="008C739F">
        <w:rPr>
          <w:rStyle w:val="Hyperlink"/>
          <w:u w:val="none"/>
        </w:rPr>
        <w:t>.</w:t>
      </w:r>
      <w:r w:rsidR="008C739F" w:rsidRPr="008C739F">
        <w:rPr>
          <w:rStyle w:val="Hyperlink"/>
          <w:u w:val="none"/>
        </w:rPr>
        <w:t xml:space="preserve"> </w:t>
      </w:r>
      <w:r w:rsidR="00FA3334" w:rsidRPr="006301B5">
        <w:t>This will in turn trigger</w:t>
      </w:r>
      <w:r w:rsidR="006301B5" w:rsidRPr="006301B5">
        <w:t xml:space="preserve"> appropriate </w:t>
      </w:r>
      <w:r w:rsidR="00DB6E80">
        <w:t xml:space="preserve">MSP </w:t>
      </w:r>
      <w:r w:rsidR="00452569">
        <w:t>D</w:t>
      </w:r>
      <w:r w:rsidR="006301B5" w:rsidRPr="006301B5">
        <w:t>river</w:t>
      </w:r>
      <w:r w:rsidR="00DB6E80">
        <w:t>’s</w:t>
      </w:r>
      <w:r w:rsidR="006301B5" w:rsidRPr="006301B5">
        <w:t xml:space="preserve"> </w:t>
      </w:r>
      <w:r w:rsidR="00452569">
        <w:t>L</w:t>
      </w:r>
      <w:r w:rsidR="006301B5" w:rsidRPr="006301B5">
        <w:t xml:space="preserve">icense updates. </w:t>
      </w:r>
    </w:p>
    <w:p w14:paraId="147FCF37" w14:textId="77777777" w:rsidR="003E77BF" w:rsidRDefault="003E77BF" w:rsidP="003E77BF">
      <w:pPr>
        <w:pStyle w:val="ListParagraph"/>
        <w:numPr>
          <w:ilvl w:val="1"/>
          <w:numId w:val="1"/>
        </w:numPr>
      </w:pPr>
      <w:r>
        <w:t>The driver is no longer an employee</w:t>
      </w:r>
    </w:p>
    <w:p w14:paraId="063D39F7" w14:textId="77777777" w:rsidR="003E77BF" w:rsidRDefault="003E77BF" w:rsidP="003E77BF">
      <w:pPr>
        <w:pStyle w:val="ListParagraph"/>
        <w:numPr>
          <w:ilvl w:val="1"/>
          <w:numId w:val="1"/>
        </w:numPr>
      </w:pPr>
      <w:r>
        <w:t xml:space="preserve">The driver’s name has changed </w:t>
      </w:r>
    </w:p>
    <w:p w14:paraId="670DADE2" w14:textId="0194E6C4" w:rsidR="00023821" w:rsidRDefault="00D15393" w:rsidP="00FF2623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38F4D668" wp14:editId="5D7E1794">
            <wp:simplePos x="0" y="0"/>
            <wp:positionH relativeFrom="column">
              <wp:posOffset>5540375</wp:posOffset>
            </wp:positionH>
            <wp:positionV relativeFrom="paragraph">
              <wp:posOffset>298450</wp:posOffset>
            </wp:positionV>
            <wp:extent cx="1016635" cy="948055"/>
            <wp:effectExtent l="0" t="0" r="0" b="4445"/>
            <wp:wrapSquare wrapText="bothSides"/>
            <wp:docPr id="1912974023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74023" name="Picture 1" descr="Graphical user interface, application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86D">
        <w:t xml:space="preserve">The following are </w:t>
      </w:r>
      <w:r w:rsidR="003E77BF">
        <w:t xml:space="preserve">driver specific </w:t>
      </w:r>
      <w:r w:rsidR="0072486D">
        <w:t xml:space="preserve">change scenarios that must </w:t>
      </w:r>
      <w:r w:rsidR="00ED42E2">
        <w:t xml:space="preserve">immediately </w:t>
      </w:r>
      <w:r w:rsidR="0072486D">
        <w:t xml:space="preserve">be updated </w:t>
      </w:r>
      <w:r w:rsidR="0022182C">
        <w:t xml:space="preserve">in the </w:t>
      </w:r>
      <w:hyperlink r:id="rId17" w:history="1">
        <w:r w:rsidR="0022182C" w:rsidRPr="00066125">
          <w:rPr>
            <w:rStyle w:val="Hyperlink"/>
          </w:rPr>
          <w:t>MSP Signer Portal</w:t>
        </w:r>
      </w:hyperlink>
      <w:r w:rsidR="0022182C" w:rsidRPr="0022182C">
        <w:rPr>
          <w:rStyle w:val="Hyperlink"/>
          <w:u w:val="none"/>
        </w:rPr>
        <w:t xml:space="preserve"> </w:t>
      </w:r>
      <w:r w:rsidR="0072486D">
        <w:t>by the</w:t>
      </w:r>
      <w:r w:rsidR="0023725D">
        <w:t xml:space="preserve"> company designated</w:t>
      </w:r>
      <w:r w:rsidR="0072486D">
        <w:t xml:space="preserve"> signer.  </w:t>
      </w:r>
    </w:p>
    <w:p w14:paraId="2148B3B2" w14:textId="3BF03694" w:rsidR="00ED42E2" w:rsidRDefault="00ED42E2" w:rsidP="0072486D">
      <w:pPr>
        <w:pStyle w:val="ListParagraph"/>
        <w:numPr>
          <w:ilvl w:val="1"/>
          <w:numId w:val="1"/>
        </w:numPr>
      </w:pPr>
      <w:r>
        <w:t xml:space="preserve">The employee now needs to drive </w:t>
      </w:r>
      <w:r w:rsidR="00DB675D">
        <w:t>in the</w:t>
      </w:r>
      <w:r>
        <w:t xml:space="preserve"> AOA (originally was not a driver)</w:t>
      </w:r>
      <w:r w:rsidR="0095056E" w:rsidRPr="0095056E">
        <w:rPr>
          <w:noProof/>
        </w:rPr>
        <w:t xml:space="preserve"> </w:t>
      </w:r>
    </w:p>
    <w:p w14:paraId="3355FABC" w14:textId="174D7614" w:rsidR="00ED42E2" w:rsidRDefault="00ED42E2" w:rsidP="0072486D">
      <w:pPr>
        <w:pStyle w:val="ListParagraph"/>
        <w:numPr>
          <w:ilvl w:val="1"/>
          <w:numId w:val="1"/>
        </w:numPr>
      </w:pPr>
      <w:r>
        <w:t xml:space="preserve">The </w:t>
      </w:r>
      <w:r w:rsidR="005C5041">
        <w:t>E</w:t>
      </w:r>
      <w:r w:rsidR="00E639DA">
        <w:t>ndor</w:t>
      </w:r>
      <w:r w:rsidR="00306CB2">
        <w:t>s</w:t>
      </w:r>
      <w:r w:rsidR="00E639DA">
        <w:t>ement</w:t>
      </w:r>
      <w:r w:rsidR="00BC6E63">
        <w:t xml:space="preserve"> (</w:t>
      </w:r>
      <w:r w:rsidR="00452569">
        <w:t xml:space="preserve">MSP </w:t>
      </w:r>
      <w:r w:rsidR="00310994">
        <w:t>Driver’s</w:t>
      </w:r>
      <w:r w:rsidR="00306CB2">
        <w:t xml:space="preserve"> License Type)</w:t>
      </w:r>
      <w:r>
        <w:t xml:space="preserve"> needs </w:t>
      </w:r>
      <w:r w:rsidR="00306CB2">
        <w:t xml:space="preserve">to be </w:t>
      </w:r>
      <w:r>
        <w:t>changed</w:t>
      </w:r>
    </w:p>
    <w:p w14:paraId="4594B822" w14:textId="364586E0" w:rsidR="00ED42E2" w:rsidRDefault="005C5041" w:rsidP="0072486D">
      <w:pPr>
        <w:pStyle w:val="ListParagraph"/>
        <w:numPr>
          <w:ilvl w:val="1"/>
          <w:numId w:val="1"/>
        </w:numPr>
      </w:pPr>
      <w:r>
        <w:t xml:space="preserve">The </w:t>
      </w:r>
      <w:r w:rsidR="00ED42E2">
        <w:t>employee</w:t>
      </w:r>
      <w:r>
        <w:t xml:space="preserve"> </w:t>
      </w:r>
      <w:r w:rsidR="00ED42E2">
        <w:t xml:space="preserve">no longer needs to drive </w:t>
      </w:r>
      <w:r w:rsidR="00DB675D">
        <w:t>in the</w:t>
      </w:r>
      <w:r w:rsidR="00ED42E2">
        <w:t xml:space="preserve"> AOA</w:t>
      </w:r>
    </w:p>
    <w:p w14:paraId="7BAAF492" w14:textId="46614556" w:rsidR="00ED42E2" w:rsidRDefault="005C5041" w:rsidP="0072486D">
      <w:pPr>
        <w:pStyle w:val="ListParagraph"/>
        <w:numPr>
          <w:ilvl w:val="1"/>
          <w:numId w:val="1"/>
        </w:numPr>
      </w:pPr>
      <w:r>
        <w:t>The employee’s s</w:t>
      </w:r>
      <w:r w:rsidR="00ED42E2">
        <w:t xml:space="preserve">tate driver’s license status </w:t>
      </w:r>
      <w:r w:rsidR="00012C33">
        <w:t xml:space="preserve">has </w:t>
      </w:r>
      <w:r w:rsidR="00ED42E2">
        <w:t>change</w:t>
      </w:r>
      <w:r w:rsidR="00012C33">
        <w:t>d</w:t>
      </w:r>
      <w:r w:rsidR="00ED42E2">
        <w:t xml:space="preserve"> (e.g., suspended, revoked or restricted)</w:t>
      </w:r>
    </w:p>
    <w:p w14:paraId="5E22730A" w14:textId="028C0FED" w:rsidR="0074465A" w:rsidRDefault="00012C33" w:rsidP="00012C33">
      <w:pPr>
        <w:pStyle w:val="ListParagraph"/>
        <w:numPr>
          <w:ilvl w:val="1"/>
          <w:numId w:val="1"/>
        </w:numPr>
      </w:pPr>
      <w:r>
        <w:t>The e</w:t>
      </w:r>
      <w:r w:rsidR="001D03BA">
        <w:t>mployee</w:t>
      </w:r>
      <w:r w:rsidR="0065443C">
        <w:t>’</w:t>
      </w:r>
      <w:r w:rsidR="001D03BA">
        <w:t>s Supervisor/Manager name</w:t>
      </w:r>
      <w:r>
        <w:t xml:space="preserve"> or </w:t>
      </w:r>
      <w:r w:rsidR="001D03BA">
        <w:t>email has changed</w:t>
      </w:r>
    </w:p>
    <w:p w14:paraId="1B0D3F4A" w14:textId="77777777" w:rsidR="000E2A98" w:rsidRDefault="000E2A98" w:rsidP="000E2A98">
      <w:r>
        <w:br w:type="page"/>
      </w:r>
    </w:p>
    <w:p w14:paraId="076EE083" w14:textId="49DC148D" w:rsidR="0028729D" w:rsidRDefault="0028729D" w:rsidP="0028729D">
      <w:pPr>
        <w:pStyle w:val="Heading2"/>
      </w:pPr>
      <w:r>
        <w:lastRenderedPageBreak/>
        <w:t>Training and Testing</w:t>
      </w:r>
      <w:r w:rsidR="00FD0FCB">
        <w:t xml:space="preserve"> Requirements</w:t>
      </w:r>
    </w:p>
    <w:p w14:paraId="3FC68CB0" w14:textId="12D01B41" w:rsidR="00D649B8" w:rsidRPr="00D649B8" w:rsidRDefault="00D649B8" w:rsidP="00D649B8">
      <w:r>
        <w:t xml:space="preserve">Shown below are the training and testing requirements for each </w:t>
      </w:r>
      <w:r w:rsidR="00E40900">
        <w:t>Endorsement</w:t>
      </w:r>
      <w:r w:rsidR="00C164D1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00"/>
        <w:gridCol w:w="1890"/>
        <w:gridCol w:w="2160"/>
      </w:tblGrid>
      <w:tr w:rsidR="00E1599C" w14:paraId="4C9573CE" w14:textId="77777777" w:rsidTr="00610EEF">
        <w:tc>
          <w:tcPr>
            <w:tcW w:w="2785" w:type="dxa"/>
            <w:shd w:val="clear" w:color="auto" w:fill="0F4761" w:themeFill="accent1" w:themeFillShade="BF"/>
          </w:tcPr>
          <w:p w14:paraId="704AA6E9" w14:textId="7A91AEB7" w:rsidR="00E1599C" w:rsidRDefault="00E40900">
            <w:r>
              <w:t>Endorsement</w:t>
            </w:r>
            <w:r w:rsidR="00E1599C">
              <w:t xml:space="preserve"> </w:t>
            </w:r>
          </w:p>
        </w:tc>
        <w:tc>
          <w:tcPr>
            <w:tcW w:w="1800" w:type="dxa"/>
            <w:shd w:val="clear" w:color="auto" w:fill="0F4761" w:themeFill="accent1" w:themeFillShade="BF"/>
          </w:tcPr>
          <w:p w14:paraId="7AF21B66" w14:textId="65FBE0D0" w:rsidR="00E1599C" w:rsidRDefault="00E1599C">
            <w:r>
              <w:t xml:space="preserve">Non-Movement </w:t>
            </w:r>
            <w:r w:rsidR="005711CD">
              <w:t xml:space="preserve">Area </w:t>
            </w:r>
            <w:r>
              <w:t xml:space="preserve">Training </w:t>
            </w:r>
          </w:p>
        </w:tc>
        <w:tc>
          <w:tcPr>
            <w:tcW w:w="1890" w:type="dxa"/>
            <w:shd w:val="clear" w:color="auto" w:fill="0F4761" w:themeFill="accent1" w:themeFillShade="BF"/>
          </w:tcPr>
          <w:p w14:paraId="3512017B" w14:textId="3B7F5FE8" w:rsidR="00E1599C" w:rsidRDefault="00E1599C">
            <w:r>
              <w:t xml:space="preserve">Movement </w:t>
            </w:r>
            <w:r w:rsidR="002A0210">
              <w:t xml:space="preserve">Area </w:t>
            </w:r>
            <w:r>
              <w:t xml:space="preserve">Test </w:t>
            </w:r>
          </w:p>
        </w:tc>
        <w:tc>
          <w:tcPr>
            <w:tcW w:w="2160" w:type="dxa"/>
            <w:shd w:val="clear" w:color="auto" w:fill="0F4761" w:themeFill="accent1" w:themeFillShade="BF"/>
          </w:tcPr>
          <w:p w14:paraId="0ECF950B" w14:textId="6A55545C" w:rsidR="00E1599C" w:rsidRDefault="00E1599C">
            <w:r>
              <w:t xml:space="preserve">Practical </w:t>
            </w:r>
            <w:r w:rsidR="00D22CF3">
              <w:t>Test</w:t>
            </w:r>
          </w:p>
        </w:tc>
      </w:tr>
      <w:tr w:rsidR="009C2F73" w14:paraId="1D358CDA" w14:textId="77777777" w:rsidTr="00610EEF">
        <w:tc>
          <w:tcPr>
            <w:tcW w:w="2785" w:type="dxa"/>
            <w:shd w:val="clear" w:color="auto" w:fill="C1E4F5" w:themeFill="accent1" w:themeFillTint="33"/>
          </w:tcPr>
          <w:p w14:paraId="7DC54F6C" w14:textId="2900C139" w:rsidR="009C2F73" w:rsidRDefault="009C2F73">
            <w:r>
              <w:t>Requirement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1584EC7B" w14:textId="16820C09" w:rsidR="009C2F73" w:rsidRDefault="009C2F73">
            <w:r>
              <w:t>Every 24 months</w:t>
            </w:r>
          </w:p>
        </w:tc>
        <w:tc>
          <w:tcPr>
            <w:tcW w:w="1890" w:type="dxa"/>
            <w:shd w:val="clear" w:color="auto" w:fill="C1E4F5" w:themeFill="accent1" w:themeFillTint="33"/>
          </w:tcPr>
          <w:p w14:paraId="2770E31B" w14:textId="649674FD" w:rsidR="009C2F73" w:rsidRDefault="009C2F73">
            <w:r>
              <w:t>Every 12 months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30C55408" w14:textId="2A96BE40" w:rsidR="009C2F73" w:rsidRDefault="009C2F73">
            <w:r>
              <w:t>Only for new drivers</w:t>
            </w:r>
          </w:p>
        </w:tc>
      </w:tr>
      <w:tr w:rsidR="00E1599C" w14:paraId="555FF05A" w14:textId="77777777" w:rsidTr="00610EEF">
        <w:tc>
          <w:tcPr>
            <w:tcW w:w="2785" w:type="dxa"/>
          </w:tcPr>
          <w:p w14:paraId="1C887124" w14:textId="77777777" w:rsidR="00E1599C" w:rsidRDefault="00E1599C">
            <w:r>
              <w:t>Ramp/Road</w:t>
            </w:r>
          </w:p>
        </w:tc>
        <w:tc>
          <w:tcPr>
            <w:tcW w:w="1800" w:type="dxa"/>
          </w:tcPr>
          <w:p w14:paraId="39693A9C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1890" w:type="dxa"/>
          </w:tcPr>
          <w:p w14:paraId="14FA45EC" w14:textId="77777777" w:rsidR="00E1599C" w:rsidRDefault="00E1599C">
            <w:pPr>
              <w:jc w:val="center"/>
            </w:pPr>
          </w:p>
        </w:tc>
        <w:tc>
          <w:tcPr>
            <w:tcW w:w="2160" w:type="dxa"/>
          </w:tcPr>
          <w:p w14:paraId="60591AA4" w14:textId="77777777" w:rsidR="00E1599C" w:rsidRDefault="00E1599C">
            <w:pPr>
              <w:jc w:val="center"/>
            </w:pPr>
          </w:p>
        </w:tc>
      </w:tr>
      <w:tr w:rsidR="00E1599C" w14:paraId="3F316FFF" w14:textId="77777777" w:rsidTr="00610EEF">
        <w:tc>
          <w:tcPr>
            <w:tcW w:w="2785" w:type="dxa"/>
          </w:tcPr>
          <w:p w14:paraId="5C948050" w14:textId="77777777" w:rsidR="00E1599C" w:rsidRDefault="00E1599C">
            <w:r>
              <w:t>Runway</w:t>
            </w:r>
          </w:p>
        </w:tc>
        <w:tc>
          <w:tcPr>
            <w:tcW w:w="1800" w:type="dxa"/>
          </w:tcPr>
          <w:p w14:paraId="480B722D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1890" w:type="dxa"/>
          </w:tcPr>
          <w:p w14:paraId="7A27FE83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6B5BE372" w14:textId="77777777" w:rsidR="00E1599C" w:rsidRDefault="00E1599C">
            <w:pPr>
              <w:jc w:val="center"/>
            </w:pPr>
            <w:r>
              <w:t>X</w:t>
            </w:r>
          </w:p>
        </w:tc>
      </w:tr>
      <w:tr w:rsidR="00E1599C" w14:paraId="70EF0C41" w14:textId="77777777" w:rsidTr="00610EEF">
        <w:tc>
          <w:tcPr>
            <w:tcW w:w="2785" w:type="dxa"/>
          </w:tcPr>
          <w:p w14:paraId="66A24C8C" w14:textId="77777777" w:rsidR="00E1599C" w:rsidRDefault="00E1599C">
            <w:r>
              <w:t>Taxiway</w:t>
            </w:r>
          </w:p>
        </w:tc>
        <w:tc>
          <w:tcPr>
            <w:tcW w:w="1800" w:type="dxa"/>
          </w:tcPr>
          <w:p w14:paraId="7B5F7890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1890" w:type="dxa"/>
          </w:tcPr>
          <w:p w14:paraId="18A1271F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79669F02" w14:textId="77777777" w:rsidR="00E1599C" w:rsidRDefault="00E1599C">
            <w:pPr>
              <w:jc w:val="center"/>
            </w:pPr>
            <w:r>
              <w:t>X</w:t>
            </w:r>
          </w:p>
        </w:tc>
      </w:tr>
      <w:tr w:rsidR="00E1599C" w14:paraId="71256C9B" w14:textId="77777777" w:rsidTr="00610EEF">
        <w:tc>
          <w:tcPr>
            <w:tcW w:w="2785" w:type="dxa"/>
          </w:tcPr>
          <w:p w14:paraId="1DB6159F" w14:textId="77777777" w:rsidR="00E1599C" w:rsidRDefault="00E1599C">
            <w:r>
              <w:t>Limited Taxiway – Military</w:t>
            </w:r>
          </w:p>
        </w:tc>
        <w:tc>
          <w:tcPr>
            <w:tcW w:w="1800" w:type="dxa"/>
          </w:tcPr>
          <w:p w14:paraId="6D683FEA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1890" w:type="dxa"/>
          </w:tcPr>
          <w:p w14:paraId="5368D4F7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77BEE35D" w14:textId="77777777" w:rsidR="00E1599C" w:rsidRDefault="00E1599C">
            <w:pPr>
              <w:jc w:val="center"/>
            </w:pPr>
            <w:r>
              <w:t>X</w:t>
            </w:r>
          </w:p>
        </w:tc>
      </w:tr>
      <w:tr w:rsidR="00E1599C" w14:paraId="1817B227" w14:textId="77777777" w:rsidTr="00610EEF">
        <w:tc>
          <w:tcPr>
            <w:tcW w:w="2785" w:type="dxa"/>
          </w:tcPr>
          <w:p w14:paraId="43C46008" w14:textId="77777777" w:rsidR="00E1599C" w:rsidRDefault="00E1599C">
            <w:r>
              <w:t>Tow</w:t>
            </w:r>
          </w:p>
        </w:tc>
        <w:tc>
          <w:tcPr>
            <w:tcW w:w="1800" w:type="dxa"/>
          </w:tcPr>
          <w:p w14:paraId="5FA4F822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1890" w:type="dxa"/>
          </w:tcPr>
          <w:p w14:paraId="56D01966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086B5139" w14:textId="77777777" w:rsidR="00E1599C" w:rsidRDefault="00E1599C">
            <w:pPr>
              <w:jc w:val="center"/>
            </w:pPr>
          </w:p>
        </w:tc>
      </w:tr>
      <w:tr w:rsidR="00E1599C" w14:paraId="231721B0" w14:textId="77777777" w:rsidTr="00610EEF">
        <w:tc>
          <w:tcPr>
            <w:tcW w:w="2785" w:type="dxa"/>
          </w:tcPr>
          <w:p w14:paraId="601A4FB8" w14:textId="77777777" w:rsidR="00E1599C" w:rsidRDefault="00E1599C">
            <w:r>
              <w:t>Limited Tow – Terminal 1</w:t>
            </w:r>
          </w:p>
        </w:tc>
        <w:tc>
          <w:tcPr>
            <w:tcW w:w="1800" w:type="dxa"/>
          </w:tcPr>
          <w:p w14:paraId="6C711F9B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1890" w:type="dxa"/>
          </w:tcPr>
          <w:p w14:paraId="4AD66E60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1F553676" w14:textId="77777777" w:rsidR="00E1599C" w:rsidRDefault="00E1599C">
            <w:pPr>
              <w:jc w:val="center"/>
            </w:pPr>
          </w:p>
        </w:tc>
      </w:tr>
      <w:tr w:rsidR="00E1599C" w14:paraId="2B7A33D7" w14:textId="77777777" w:rsidTr="00610EEF">
        <w:tc>
          <w:tcPr>
            <w:tcW w:w="2785" w:type="dxa"/>
          </w:tcPr>
          <w:p w14:paraId="49742817" w14:textId="77777777" w:rsidR="00E1599C" w:rsidRDefault="00E1599C">
            <w:r>
              <w:t>Limited Tow – Terminal 2</w:t>
            </w:r>
          </w:p>
        </w:tc>
        <w:tc>
          <w:tcPr>
            <w:tcW w:w="1800" w:type="dxa"/>
          </w:tcPr>
          <w:p w14:paraId="0832DB51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1890" w:type="dxa"/>
          </w:tcPr>
          <w:p w14:paraId="2214678D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03D55DC0" w14:textId="77777777" w:rsidR="00E1599C" w:rsidRDefault="00E1599C">
            <w:pPr>
              <w:jc w:val="center"/>
            </w:pPr>
          </w:p>
        </w:tc>
      </w:tr>
      <w:tr w:rsidR="00E1599C" w14:paraId="56E7AEAA" w14:textId="77777777" w:rsidTr="00610EEF">
        <w:tc>
          <w:tcPr>
            <w:tcW w:w="2785" w:type="dxa"/>
          </w:tcPr>
          <w:p w14:paraId="0A239594" w14:textId="77777777" w:rsidR="00E1599C" w:rsidRDefault="00E1599C">
            <w:r>
              <w:t>Limited Tow – Infield Cargo</w:t>
            </w:r>
          </w:p>
        </w:tc>
        <w:tc>
          <w:tcPr>
            <w:tcW w:w="1800" w:type="dxa"/>
          </w:tcPr>
          <w:p w14:paraId="122DF369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1890" w:type="dxa"/>
          </w:tcPr>
          <w:p w14:paraId="07DFAFCE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2B682F34" w14:textId="77777777" w:rsidR="00E1599C" w:rsidRDefault="00E1599C">
            <w:pPr>
              <w:jc w:val="center"/>
            </w:pPr>
          </w:p>
        </w:tc>
      </w:tr>
      <w:tr w:rsidR="00E1599C" w14:paraId="2092C173" w14:textId="77777777" w:rsidTr="00610EEF">
        <w:tc>
          <w:tcPr>
            <w:tcW w:w="2785" w:type="dxa"/>
          </w:tcPr>
          <w:p w14:paraId="11248242" w14:textId="77777777" w:rsidR="00E1599C" w:rsidRDefault="00E1599C">
            <w:r>
              <w:t>Limited Tow – Military</w:t>
            </w:r>
          </w:p>
        </w:tc>
        <w:tc>
          <w:tcPr>
            <w:tcW w:w="1800" w:type="dxa"/>
          </w:tcPr>
          <w:p w14:paraId="40A5D0EE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1890" w:type="dxa"/>
          </w:tcPr>
          <w:p w14:paraId="344D01B8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0947BFB9" w14:textId="77777777" w:rsidR="00E1599C" w:rsidRDefault="00E1599C">
            <w:pPr>
              <w:jc w:val="center"/>
            </w:pPr>
          </w:p>
        </w:tc>
      </w:tr>
      <w:tr w:rsidR="00E1599C" w14:paraId="31D715CB" w14:textId="77777777" w:rsidTr="00610EEF">
        <w:tc>
          <w:tcPr>
            <w:tcW w:w="2785" w:type="dxa"/>
          </w:tcPr>
          <w:p w14:paraId="391416D2" w14:textId="77777777" w:rsidR="00E1599C" w:rsidRDefault="00E1599C">
            <w:r>
              <w:t>Pushback</w:t>
            </w:r>
          </w:p>
        </w:tc>
        <w:tc>
          <w:tcPr>
            <w:tcW w:w="1800" w:type="dxa"/>
          </w:tcPr>
          <w:p w14:paraId="52BC390D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1890" w:type="dxa"/>
          </w:tcPr>
          <w:p w14:paraId="19E57B7F" w14:textId="77777777" w:rsidR="00E1599C" w:rsidRDefault="00E1599C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13BF6D76" w14:textId="77777777" w:rsidR="00E1599C" w:rsidRDefault="00E1599C">
            <w:pPr>
              <w:jc w:val="center"/>
            </w:pPr>
          </w:p>
        </w:tc>
      </w:tr>
    </w:tbl>
    <w:p w14:paraId="3C3C673F" w14:textId="77777777" w:rsidR="00E1599C" w:rsidRDefault="00E1599C" w:rsidP="00E159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560"/>
      </w:tblGrid>
      <w:tr w:rsidR="00BC4D18" w14:paraId="5650A075" w14:textId="7B70082C">
        <w:tc>
          <w:tcPr>
            <w:tcW w:w="10345" w:type="dxa"/>
            <w:gridSpan w:val="2"/>
            <w:shd w:val="clear" w:color="auto" w:fill="0F4761" w:themeFill="accent1" w:themeFillShade="BF"/>
          </w:tcPr>
          <w:p w14:paraId="13F67AA5" w14:textId="367D843B" w:rsidR="00BC4D18" w:rsidRPr="0028729D" w:rsidRDefault="00BC4D18" w:rsidP="0028729D">
            <w:pPr>
              <w:jc w:val="center"/>
              <w:rPr>
                <w:b/>
                <w:bCs/>
              </w:rPr>
            </w:pPr>
            <w:r w:rsidRPr="00242B96">
              <w:rPr>
                <w:b/>
                <w:bCs/>
                <w:sz w:val="24"/>
                <w:szCs w:val="24"/>
              </w:rPr>
              <w:t>Non-Movement Area</w:t>
            </w:r>
          </w:p>
        </w:tc>
      </w:tr>
      <w:tr w:rsidR="00BC4D18" w14:paraId="46C8FED2" w14:textId="71CBCCC0" w:rsidTr="00BC4D18">
        <w:tc>
          <w:tcPr>
            <w:tcW w:w="2785" w:type="dxa"/>
            <w:shd w:val="clear" w:color="auto" w:fill="C1E4F5" w:themeFill="accent1" w:themeFillTint="33"/>
          </w:tcPr>
          <w:p w14:paraId="6E289393" w14:textId="4781BE30" w:rsidR="00BC4D18" w:rsidRDefault="00BC4D18">
            <w:r>
              <w:t>Topic</w:t>
            </w:r>
          </w:p>
        </w:tc>
        <w:tc>
          <w:tcPr>
            <w:tcW w:w="7560" w:type="dxa"/>
            <w:shd w:val="clear" w:color="auto" w:fill="C1E4F5" w:themeFill="accent1" w:themeFillTint="33"/>
          </w:tcPr>
          <w:p w14:paraId="327AE686" w14:textId="31E78EBB" w:rsidR="00BC4D18" w:rsidRDefault="00BC4D18">
            <w:r>
              <w:t>Process to Complete</w:t>
            </w:r>
          </w:p>
        </w:tc>
      </w:tr>
      <w:tr w:rsidR="00BC4D18" w14:paraId="14455CF5" w14:textId="2FEA776D" w:rsidTr="00BC4D18">
        <w:tc>
          <w:tcPr>
            <w:tcW w:w="2785" w:type="dxa"/>
          </w:tcPr>
          <w:p w14:paraId="27E495F5" w14:textId="034E241E" w:rsidR="00BC4D18" w:rsidRDefault="00BC4D18">
            <w:r>
              <w:t>Training</w:t>
            </w:r>
          </w:p>
        </w:tc>
        <w:tc>
          <w:tcPr>
            <w:tcW w:w="7560" w:type="dxa"/>
          </w:tcPr>
          <w:p w14:paraId="17BFF4BD" w14:textId="38239CE3" w:rsidR="00BC4D18" w:rsidRDefault="000A7C8A" w:rsidP="00BC4D18">
            <w:pPr>
              <w:pStyle w:val="ListParagraph"/>
              <w:numPr>
                <w:ilvl w:val="0"/>
                <w:numId w:val="1"/>
              </w:numPr>
            </w:pPr>
            <w:r>
              <w:t>After</w:t>
            </w:r>
            <w:r w:rsidR="00C91B97">
              <w:t xml:space="preserve"> the Employee</w:t>
            </w:r>
            <w:r w:rsidR="00927AB3">
              <w:t xml:space="preserve">’s </w:t>
            </w:r>
            <w:r w:rsidR="00C91B97">
              <w:t>SIDA badge</w:t>
            </w:r>
            <w:r w:rsidR="00927AB3">
              <w:t xml:space="preserve"> has been issued</w:t>
            </w:r>
            <w:r w:rsidR="00C91B97">
              <w:t xml:space="preserve">, they </w:t>
            </w:r>
            <w:r w:rsidR="00BC4D18">
              <w:t>will receive an email with a link to the MAC Learning Management system</w:t>
            </w:r>
            <w:r w:rsidR="007B1791">
              <w:t xml:space="preserve"> </w:t>
            </w:r>
            <w:r w:rsidR="005154D8">
              <w:t>to allow the employee to take the required training</w:t>
            </w:r>
            <w:r w:rsidR="00BC4D18">
              <w:t xml:space="preserve">.  </w:t>
            </w:r>
          </w:p>
          <w:p w14:paraId="5E4EF45B" w14:textId="21ABBA58" w:rsidR="000A7D68" w:rsidRPr="00F45B82" w:rsidRDefault="00BC4D18" w:rsidP="00F45B82">
            <w:pPr>
              <w:pStyle w:val="ListParagraph"/>
              <w:numPr>
                <w:ilvl w:val="0"/>
                <w:numId w:val="1"/>
              </w:numPr>
            </w:pPr>
            <w:r>
              <w:t>Employee must</w:t>
            </w:r>
            <w:r w:rsidR="00F45B82">
              <w:t xml:space="preserve"> </w:t>
            </w:r>
            <w:r w:rsidR="00F45B82" w:rsidRPr="00F45B82">
              <w:rPr>
                <w:color w:val="000000" w:themeColor="text1"/>
              </w:rPr>
              <w:t xml:space="preserve">enter </w:t>
            </w:r>
            <w:r w:rsidR="000A7D68" w:rsidRPr="00F45B82">
              <w:rPr>
                <w:color w:val="000000" w:themeColor="text1"/>
              </w:rPr>
              <w:t xml:space="preserve">Applicant ID and Badge # (Applicant ID will be </w:t>
            </w:r>
            <w:r w:rsidR="00F45B82">
              <w:rPr>
                <w:color w:val="000000" w:themeColor="text1"/>
              </w:rPr>
              <w:t>included in the email</w:t>
            </w:r>
            <w:r w:rsidR="000A7D68" w:rsidRPr="00F45B82">
              <w:rPr>
                <w:color w:val="000000" w:themeColor="text1"/>
              </w:rPr>
              <w:t xml:space="preserve"> to employee)</w:t>
            </w:r>
          </w:p>
          <w:p w14:paraId="24538D0A" w14:textId="47E55556" w:rsidR="005315D5" w:rsidRDefault="00A27E44" w:rsidP="00BC4D18">
            <w:pPr>
              <w:pStyle w:val="ListParagraph"/>
              <w:numPr>
                <w:ilvl w:val="0"/>
                <w:numId w:val="1"/>
              </w:numPr>
            </w:pPr>
            <w:r>
              <w:t xml:space="preserve">After the employee completes the training, the </w:t>
            </w:r>
            <w:r w:rsidR="00BC4D18">
              <w:t xml:space="preserve">Employee </w:t>
            </w:r>
            <w:r w:rsidR="0072486D">
              <w:t xml:space="preserve">and Supervisor </w:t>
            </w:r>
            <w:r w:rsidR="00BC4D18">
              <w:t xml:space="preserve">will receive an email stating </w:t>
            </w:r>
            <w:r w:rsidR="0072486D">
              <w:t xml:space="preserve">they are now </w:t>
            </w:r>
            <w:r w:rsidR="00DB5932">
              <w:t>allowed</w:t>
            </w:r>
            <w:r w:rsidR="0072486D">
              <w:t xml:space="preserve"> to drive </w:t>
            </w:r>
            <w:r w:rsidR="00DB675D">
              <w:t>in the</w:t>
            </w:r>
            <w:r w:rsidR="0072486D">
              <w:t xml:space="preserve"> MSP Non-Movement Area.  </w:t>
            </w:r>
          </w:p>
          <w:p w14:paraId="62BAA5EE" w14:textId="77777777" w:rsidR="00BC4D18" w:rsidRDefault="0072486D" w:rsidP="00BC4D18">
            <w:pPr>
              <w:pStyle w:val="ListParagraph"/>
              <w:numPr>
                <w:ilvl w:val="0"/>
                <w:numId w:val="1"/>
              </w:numPr>
            </w:pPr>
            <w:r>
              <w:t xml:space="preserve">If the employee also needs Movement Area training the email will provide next steps </w:t>
            </w:r>
            <w:r w:rsidR="0081224B">
              <w:t xml:space="preserve">for </w:t>
            </w:r>
            <w:r w:rsidR="00DB5932">
              <w:t xml:space="preserve">the </w:t>
            </w:r>
            <w:r w:rsidR="0081224B">
              <w:t>Supervisor to</w:t>
            </w:r>
            <w:r>
              <w:t xml:space="preserve"> schedule the </w:t>
            </w:r>
            <w:r w:rsidR="004A4990" w:rsidRPr="008869EE">
              <w:rPr>
                <w:u w:val="single"/>
              </w:rPr>
              <w:t>optional</w:t>
            </w:r>
            <w:r w:rsidR="004A4990">
              <w:t xml:space="preserve"> training and </w:t>
            </w:r>
            <w:r w:rsidR="00F92947" w:rsidRPr="008869EE">
              <w:rPr>
                <w:u w:val="single"/>
              </w:rPr>
              <w:t>required</w:t>
            </w:r>
            <w:r w:rsidR="00F92947">
              <w:t xml:space="preserve"> </w:t>
            </w:r>
            <w:r>
              <w:t>testin</w:t>
            </w:r>
            <w:r w:rsidR="0088574C">
              <w:t>g</w:t>
            </w:r>
            <w:r>
              <w:t xml:space="preserve">. </w:t>
            </w:r>
          </w:p>
          <w:p w14:paraId="24032584" w14:textId="77777777" w:rsidR="00C664D3" w:rsidRDefault="00C664D3" w:rsidP="00C664D3"/>
          <w:p w14:paraId="50F454C8" w14:textId="7F406B63" w:rsidR="00C664D3" w:rsidRDefault="00C664D3" w:rsidP="00C664D3"/>
        </w:tc>
      </w:tr>
      <w:tr w:rsidR="00BC4D18" w14:paraId="051D410C" w14:textId="1F444531">
        <w:tc>
          <w:tcPr>
            <w:tcW w:w="10345" w:type="dxa"/>
            <w:gridSpan w:val="2"/>
            <w:shd w:val="clear" w:color="auto" w:fill="0F4761" w:themeFill="accent1" w:themeFillShade="BF"/>
          </w:tcPr>
          <w:p w14:paraId="191F2293" w14:textId="403C853C" w:rsidR="00BC4D18" w:rsidRPr="00D57107" w:rsidRDefault="00BC4D18" w:rsidP="00D57107">
            <w:pPr>
              <w:jc w:val="center"/>
              <w:rPr>
                <w:b/>
                <w:bCs/>
              </w:rPr>
            </w:pPr>
            <w:r w:rsidRPr="00242B96">
              <w:rPr>
                <w:b/>
                <w:bCs/>
                <w:sz w:val="24"/>
                <w:szCs w:val="24"/>
              </w:rPr>
              <w:t>Movement Area</w:t>
            </w:r>
          </w:p>
        </w:tc>
      </w:tr>
      <w:tr w:rsidR="00BC4D18" w14:paraId="5925BCEB" w14:textId="5A7E169A" w:rsidTr="00BC4D18">
        <w:tc>
          <w:tcPr>
            <w:tcW w:w="2785" w:type="dxa"/>
          </w:tcPr>
          <w:p w14:paraId="4E550B00" w14:textId="12F8E386" w:rsidR="00BC4D18" w:rsidRDefault="00BC4D18">
            <w:r>
              <w:t>Training</w:t>
            </w:r>
          </w:p>
        </w:tc>
        <w:tc>
          <w:tcPr>
            <w:tcW w:w="7560" w:type="dxa"/>
          </w:tcPr>
          <w:p w14:paraId="486F952A" w14:textId="606B5D3F" w:rsidR="00BC4D18" w:rsidRDefault="003B6FB6" w:rsidP="003B6FB6">
            <w:pPr>
              <w:pStyle w:val="ListParagraph"/>
              <w:numPr>
                <w:ilvl w:val="0"/>
                <w:numId w:val="4"/>
              </w:numPr>
            </w:pPr>
            <w:r>
              <w:t xml:space="preserve">Study guide </w:t>
            </w:r>
            <w:r w:rsidR="00E203DC">
              <w:t>will</w:t>
            </w:r>
            <w:r>
              <w:t xml:space="preserve"> </w:t>
            </w:r>
            <w:r w:rsidR="008F50AD">
              <w:t xml:space="preserve">be </w:t>
            </w:r>
            <w:r>
              <w:t>ava</w:t>
            </w:r>
            <w:r w:rsidR="00E203DC">
              <w:t>ilable soon</w:t>
            </w:r>
            <w:r w:rsidR="00806208">
              <w:t>.</w:t>
            </w:r>
          </w:p>
          <w:p w14:paraId="3235EA70" w14:textId="7BB4006B" w:rsidR="003B6FB6" w:rsidRDefault="003B6FB6" w:rsidP="003B6FB6">
            <w:pPr>
              <w:pStyle w:val="ListParagraph"/>
              <w:numPr>
                <w:ilvl w:val="0"/>
                <w:numId w:val="4"/>
              </w:numPr>
            </w:pPr>
            <w:r>
              <w:t xml:space="preserve">Optional onsite training is available.  </w:t>
            </w:r>
          </w:p>
        </w:tc>
      </w:tr>
      <w:tr w:rsidR="00BC4D18" w14:paraId="2AE162C3" w14:textId="77777777" w:rsidTr="00BC4D18">
        <w:tc>
          <w:tcPr>
            <w:tcW w:w="2785" w:type="dxa"/>
          </w:tcPr>
          <w:p w14:paraId="4AAD9CEC" w14:textId="463E1B5E" w:rsidR="00BC4D18" w:rsidRDefault="003B6FB6">
            <w:r>
              <w:t xml:space="preserve">Testing - </w:t>
            </w:r>
            <w:r w:rsidR="001E6F8C">
              <w:t>W</w:t>
            </w:r>
            <w:r>
              <w:t>ritten</w:t>
            </w:r>
          </w:p>
        </w:tc>
        <w:tc>
          <w:tcPr>
            <w:tcW w:w="7560" w:type="dxa"/>
          </w:tcPr>
          <w:p w14:paraId="7B3CCAFF" w14:textId="414D47AF" w:rsidR="00BC4D18" w:rsidRDefault="003B6FB6" w:rsidP="00B80CF4">
            <w:pPr>
              <w:pStyle w:val="ListParagraph"/>
              <w:numPr>
                <w:ilvl w:val="0"/>
                <w:numId w:val="5"/>
              </w:numPr>
            </w:pPr>
            <w:r>
              <w:t>To schedule</w:t>
            </w:r>
            <w:r w:rsidR="00EE6A2F">
              <w:t xml:space="preserve"> the testing</w:t>
            </w:r>
            <w:r w:rsidR="00D171FA">
              <w:t xml:space="preserve">, the </w:t>
            </w:r>
            <w:r w:rsidR="00E6456E">
              <w:t>employee</w:t>
            </w:r>
            <w:r w:rsidR="00E23DB4">
              <w:t>’</w:t>
            </w:r>
            <w:r w:rsidR="00E6456E">
              <w:t>s Supervisor</w:t>
            </w:r>
            <w:r w:rsidR="0010529E">
              <w:t xml:space="preserve"> </w:t>
            </w:r>
            <w:r w:rsidR="002D081B">
              <w:t>will receive a link</w:t>
            </w:r>
            <w:r w:rsidR="001A22D5">
              <w:t xml:space="preserve"> to the driver records system (DRS)</w:t>
            </w:r>
            <w:r>
              <w:t xml:space="preserve">. </w:t>
            </w:r>
          </w:p>
          <w:p w14:paraId="595641B5" w14:textId="77777777" w:rsidR="00B80CF4" w:rsidRDefault="00B80CF4" w:rsidP="00B80CF4">
            <w:pPr>
              <w:pStyle w:val="ListParagraph"/>
              <w:numPr>
                <w:ilvl w:val="0"/>
                <w:numId w:val="5"/>
              </w:numPr>
            </w:pPr>
            <w:r>
              <w:t xml:space="preserve">The email is triggered after: </w:t>
            </w:r>
          </w:p>
          <w:p w14:paraId="5D23ADF8" w14:textId="2071DF00" w:rsidR="00B80CF4" w:rsidRDefault="00B80CF4" w:rsidP="00B80CF4">
            <w:pPr>
              <w:pStyle w:val="ListParagraph"/>
              <w:numPr>
                <w:ilvl w:val="1"/>
                <w:numId w:val="5"/>
              </w:numPr>
            </w:pPr>
            <w:r>
              <w:t>a Movement Area driv</w:t>
            </w:r>
            <w:r w:rsidR="000B4735">
              <w:t>ing</w:t>
            </w:r>
            <w:r>
              <w:t xml:space="preserve"> request is entered by a company signer</w:t>
            </w:r>
            <w:r w:rsidR="000B4735">
              <w:t xml:space="preserve"> for a new employee</w:t>
            </w:r>
            <w:r w:rsidR="00C3135D">
              <w:t xml:space="preserve">. </w:t>
            </w:r>
            <w:r w:rsidR="00C3135D">
              <w:t xml:space="preserve">Note that </w:t>
            </w:r>
            <w:r w:rsidR="000B4735">
              <w:t>the</w:t>
            </w:r>
            <w:r w:rsidR="00C3135D">
              <w:t xml:space="preserve"> email will not be sent until the employee has </w:t>
            </w:r>
            <w:r w:rsidR="00BE17EF">
              <w:t>completed the Non-Movement Area training.</w:t>
            </w:r>
          </w:p>
          <w:p w14:paraId="4436EC2D" w14:textId="50C39F3B" w:rsidR="00C44E92" w:rsidRDefault="00C44E92" w:rsidP="00B80CF4">
            <w:pPr>
              <w:pStyle w:val="ListParagraph"/>
              <w:numPr>
                <w:ilvl w:val="1"/>
                <w:numId w:val="5"/>
              </w:numPr>
            </w:pPr>
            <w:r>
              <w:t xml:space="preserve">a Movement Area driving request is </w:t>
            </w:r>
            <w:r>
              <w:t>added</w:t>
            </w:r>
            <w:r>
              <w:t xml:space="preserve"> by a company signer for a</w:t>
            </w:r>
            <w:r>
              <w:t xml:space="preserve">n existing </w:t>
            </w:r>
            <w:r>
              <w:t>employee</w:t>
            </w:r>
            <w:r>
              <w:t xml:space="preserve"> </w:t>
            </w:r>
          </w:p>
          <w:p w14:paraId="3CD5EE8B" w14:textId="75AE8BD2" w:rsidR="00B80CF4" w:rsidRDefault="00B80CF4" w:rsidP="00B80CF4">
            <w:pPr>
              <w:pStyle w:val="ListParagraph"/>
              <w:numPr>
                <w:ilvl w:val="1"/>
                <w:numId w:val="5"/>
              </w:numPr>
            </w:pPr>
            <w:r>
              <w:t>a change in Movement Area license type is entered by a company signer</w:t>
            </w:r>
          </w:p>
          <w:p w14:paraId="6FD85588" w14:textId="73045AE3" w:rsidR="00B80CF4" w:rsidRDefault="00B80CF4" w:rsidP="00B80CF4">
            <w:pPr>
              <w:pStyle w:val="ListParagraph"/>
              <w:numPr>
                <w:ilvl w:val="1"/>
                <w:numId w:val="5"/>
              </w:numPr>
            </w:pPr>
            <w:r>
              <w:t>an existing Movement Area driver license is approaching expiration</w:t>
            </w:r>
          </w:p>
          <w:p w14:paraId="1C88E573" w14:textId="77777777" w:rsidR="003B6FB6" w:rsidRDefault="003B6FB6" w:rsidP="00B80CF4">
            <w:pPr>
              <w:pStyle w:val="ListParagraph"/>
              <w:numPr>
                <w:ilvl w:val="0"/>
                <w:numId w:val="5"/>
              </w:numPr>
            </w:pPr>
            <w:r>
              <w:t xml:space="preserve">Employee should bring the following items to the DTC:  </w:t>
            </w:r>
          </w:p>
          <w:p w14:paraId="026477B2" w14:textId="6F339A82" w:rsidR="003B6FB6" w:rsidRDefault="003B6FB6" w:rsidP="00B80CF4">
            <w:pPr>
              <w:pStyle w:val="ListParagraph"/>
              <w:numPr>
                <w:ilvl w:val="1"/>
                <w:numId w:val="5"/>
              </w:numPr>
            </w:pPr>
            <w:r w:rsidRPr="005B6ED5">
              <w:t>Valid state driver’s license</w:t>
            </w:r>
            <w:r w:rsidR="005B6ED5" w:rsidRPr="005B6ED5">
              <w:t xml:space="preserve"> OR </w:t>
            </w:r>
            <w:r w:rsidRPr="005B6ED5">
              <w:t>SIDA badge</w:t>
            </w:r>
          </w:p>
          <w:p w14:paraId="549639E9" w14:textId="6D1CE455" w:rsidR="00D50E0C" w:rsidRPr="005B6ED5" w:rsidRDefault="00D50E0C" w:rsidP="00B80CF4">
            <w:pPr>
              <w:pStyle w:val="ListParagraph"/>
              <w:numPr>
                <w:ilvl w:val="1"/>
                <w:numId w:val="5"/>
              </w:numPr>
            </w:pPr>
            <w:r>
              <w:lastRenderedPageBreak/>
              <w:t>Applicant ID number</w:t>
            </w:r>
          </w:p>
          <w:p w14:paraId="32902631" w14:textId="1F03214B" w:rsidR="00B53174" w:rsidRDefault="006D4748" w:rsidP="00B80CF4">
            <w:pPr>
              <w:pStyle w:val="ListParagraph"/>
              <w:numPr>
                <w:ilvl w:val="0"/>
                <w:numId w:val="5"/>
              </w:numPr>
            </w:pPr>
            <w:r>
              <w:t xml:space="preserve">If employee needs to cancel or </w:t>
            </w:r>
            <w:r w:rsidR="00D171FA">
              <w:t xml:space="preserve">change </w:t>
            </w:r>
            <w:r w:rsidR="003D06DA">
              <w:t xml:space="preserve">the </w:t>
            </w:r>
            <w:r w:rsidR="00982FED">
              <w:t xml:space="preserve">scheduled </w:t>
            </w:r>
            <w:r w:rsidR="00D171FA">
              <w:t>test time</w:t>
            </w:r>
            <w:r w:rsidR="003D06DA">
              <w:t>,</w:t>
            </w:r>
            <w:r w:rsidR="00982FED">
              <w:t xml:space="preserve"> the employee’s </w:t>
            </w:r>
            <w:r w:rsidR="003B5FC0">
              <w:t>S</w:t>
            </w:r>
            <w:r w:rsidR="00212604">
              <w:t xml:space="preserve">upervisor </w:t>
            </w:r>
            <w:r w:rsidR="003D296A">
              <w:t xml:space="preserve">will need to use same link from email referenced above. </w:t>
            </w:r>
          </w:p>
          <w:p w14:paraId="228F5086" w14:textId="6DA2DB14" w:rsidR="00E1599C" w:rsidRDefault="003B6FB6" w:rsidP="00B80CF4">
            <w:pPr>
              <w:pStyle w:val="ListParagraph"/>
              <w:numPr>
                <w:ilvl w:val="0"/>
                <w:numId w:val="5"/>
              </w:numPr>
            </w:pPr>
            <w:r>
              <w:t xml:space="preserve">Employee </w:t>
            </w:r>
            <w:r w:rsidR="00F8429A">
              <w:t>will have</w:t>
            </w:r>
            <w:r>
              <w:t xml:space="preserve"> 3 </w:t>
            </w:r>
            <w:r w:rsidR="00917417">
              <w:t>attempts</w:t>
            </w:r>
            <w:r>
              <w:t xml:space="preserve"> to pass the test.  </w:t>
            </w:r>
          </w:p>
          <w:p w14:paraId="2BF470A8" w14:textId="77777777" w:rsidR="003642DA" w:rsidRDefault="00E1599C" w:rsidP="00B80CF4">
            <w:pPr>
              <w:pStyle w:val="ListParagraph"/>
              <w:numPr>
                <w:ilvl w:val="1"/>
                <w:numId w:val="5"/>
              </w:numPr>
            </w:pPr>
            <w:r w:rsidRPr="00212604">
              <w:rPr>
                <w:u w:val="single"/>
              </w:rPr>
              <w:t>Test Pass</w:t>
            </w:r>
            <w:r>
              <w:t xml:space="preserve">:  </w:t>
            </w:r>
          </w:p>
          <w:p w14:paraId="661B3B02" w14:textId="72654784" w:rsidR="003642DA" w:rsidRDefault="003642DA" w:rsidP="00B80CF4">
            <w:pPr>
              <w:pStyle w:val="ListParagraph"/>
              <w:numPr>
                <w:ilvl w:val="2"/>
                <w:numId w:val="5"/>
              </w:numPr>
            </w:pPr>
            <w:r w:rsidRPr="00865B44">
              <w:rPr>
                <w:b/>
                <w:bCs/>
              </w:rPr>
              <w:t>No Practical Test needed</w:t>
            </w:r>
            <w:r>
              <w:t xml:space="preserve"> - </w:t>
            </w:r>
            <w:r w:rsidR="00E1599C">
              <w:t xml:space="preserve">Employee will receive an email stating they are now </w:t>
            </w:r>
            <w:r w:rsidR="00D5510A">
              <w:t>allowed</w:t>
            </w:r>
            <w:r w:rsidR="00E1599C">
              <w:t xml:space="preserve"> to drive </w:t>
            </w:r>
            <w:r w:rsidR="00DB675D">
              <w:t>in the</w:t>
            </w:r>
            <w:r w:rsidR="00E1599C">
              <w:t xml:space="preserve"> MSP Movement Area.  </w:t>
            </w:r>
          </w:p>
          <w:p w14:paraId="2E8DA0F0" w14:textId="56BDD244" w:rsidR="00E1599C" w:rsidRDefault="003642DA" w:rsidP="00B80CF4">
            <w:pPr>
              <w:pStyle w:val="ListParagraph"/>
              <w:numPr>
                <w:ilvl w:val="2"/>
                <w:numId w:val="5"/>
              </w:numPr>
            </w:pPr>
            <w:r w:rsidRPr="00865B44">
              <w:rPr>
                <w:b/>
                <w:bCs/>
              </w:rPr>
              <w:t>Practical Test needed</w:t>
            </w:r>
            <w:r>
              <w:t xml:space="preserve"> - </w:t>
            </w:r>
            <w:r w:rsidR="00E1599C">
              <w:t xml:space="preserve">the </w:t>
            </w:r>
            <w:r w:rsidR="00D5510A">
              <w:t>employee’s S</w:t>
            </w:r>
            <w:r w:rsidR="00E1599C" w:rsidRPr="000016C1">
              <w:t xml:space="preserve">upervisor </w:t>
            </w:r>
            <w:r w:rsidR="000E57AA">
              <w:t>will need to</w:t>
            </w:r>
            <w:r w:rsidR="00E1599C">
              <w:t xml:space="preserve"> schedule </w:t>
            </w:r>
            <w:r w:rsidR="009F5555">
              <w:t xml:space="preserve">the </w:t>
            </w:r>
            <w:r w:rsidR="00E1599C">
              <w:t xml:space="preserve">test.  </w:t>
            </w:r>
            <w:r w:rsidR="00D477D6">
              <w:t>To prepare for the Practical Test, the employee may drive with another MSP licensed driver in the vehicle</w:t>
            </w:r>
            <w:r w:rsidR="00865B44">
              <w:t xml:space="preserve">. </w:t>
            </w:r>
          </w:p>
          <w:p w14:paraId="29227B50" w14:textId="4A7E078C" w:rsidR="003B6FB6" w:rsidRDefault="00E1599C" w:rsidP="00B80CF4">
            <w:pPr>
              <w:pStyle w:val="ListParagraph"/>
              <w:numPr>
                <w:ilvl w:val="1"/>
                <w:numId w:val="5"/>
              </w:numPr>
            </w:pPr>
            <w:r w:rsidRPr="00212604">
              <w:rPr>
                <w:u w:val="single"/>
              </w:rPr>
              <w:t>Test Fail</w:t>
            </w:r>
            <w:r>
              <w:t>:</w:t>
            </w:r>
            <w:r w:rsidR="003B6FB6">
              <w:t xml:space="preserve"> </w:t>
            </w:r>
            <w:r w:rsidR="002270EE">
              <w:t>S</w:t>
            </w:r>
            <w:r w:rsidRPr="000016C1">
              <w:t xml:space="preserve">upervisor </w:t>
            </w:r>
            <w:r>
              <w:t xml:space="preserve">will </w:t>
            </w:r>
            <w:r w:rsidR="00F67036">
              <w:t xml:space="preserve">receive an email </w:t>
            </w:r>
            <w:r w:rsidR="002270EE">
              <w:t>advising of</w:t>
            </w:r>
            <w:r w:rsidR="00F67036">
              <w:t xml:space="preserve"> the </w:t>
            </w:r>
            <w:r>
              <w:t>need to schedule a retake for another day</w:t>
            </w:r>
            <w:r w:rsidR="00751C61" w:rsidRPr="00751C61">
              <w:t>.</w:t>
            </w:r>
          </w:p>
        </w:tc>
      </w:tr>
      <w:tr w:rsidR="00BC4D18" w14:paraId="3952A979" w14:textId="77777777" w:rsidTr="00BC4D18">
        <w:tc>
          <w:tcPr>
            <w:tcW w:w="2785" w:type="dxa"/>
          </w:tcPr>
          <w:p w14:paraId="3D49B950" w14:textId="172538BC" w:rsidR="00BC4D18" w:rsidRDefault="003B6FB6">
            <w:r>
              <w:lastRenderedPageBreak/>
              <w:t xml:space="preserve">Testing - </w:t>
            </w:r>
            <w:r w:rsidR="001E6F8C">
              <w:t>P</w:t>
            </w:r>
            <w:r>
              <w:t>ractical</w:t>
            </w:r>
          </w:p>
        </w:tc>
        <w:tc>
          <w:tcPr>
            <w:tcW w:w="7560" w:type="dxa"/>
          </w:tcPr>
          <w:p w14:paraId="37DCC4C8" w14:textId="747713CE" w:rsidR="003D296A" w:rsidRDefault="003D296A" w:rsidP="003D296A">
            <w:pPr>
              <w:pStyle w:val="ListParagraph"/>
              <w:numPr>
                <w:ilvl w:val="0"/>
                <w:numId w:val="6"/>
              </w:numPr>
            </w:pPr>
            <w:r>
              <w:t xml:space="preserve">To schedule a Practical test, the employee’s Supervisor will receive a link to the driver records system (DRS). </w:t>
            </w:r>
          </w:p>
          <w:p w14:paraId="2B75EC46" w14:textId="77777777" w:rsidR="003D296A" w:rsidRDefault="003D296A" w:rsidP="003D296A">
            <w:pPr>
              <w:pStyle w:val="ListParagraph"/>
              <w:numPr>
                <w:ilvl w:val="0"/>
                <w:numId w:val="6"/>
              </w:numPr>
            </w:pPr>
            <w:r>
              <w:t xml:space="preserve">The email is triggered after: </w:t>
            </w:r>
          </w:p>
          <w:p w14:paraId="65F5F512" w14:textId="77777777" w:rsidR="003D296A" w:rsidRDefault="003D296A" w:rsidP="003D296A">
            <w:pPr>
              <w:pStyle w:val="ListParagraph"/>
              <w:numPr>
                <w:ilvl w:val="1"/>
                <w:numId w:val="6"/>
              </w:numPr>
            </w:pPr>
            <w:r>
              <w:t>a new Movement Area driver request is entered by a company signer</w:t>
            </w:r>
          </w:p>
          <w:p w14:paraId="27C7A3DC" w14:textId="77777777" w:rsidR="003D296A" w:rsidRDefault="003D296A" w:rsidP="003D296A">
            <w:pPr>
              <w:pStyle w:val="ListParagraph"/>
              <w:numPr>
                <w:ilvl w:val="1"/>
                <w:numId w:val="6"/>
              </w:numPr>
            </w:pPr>
            <w:r>
              <w:t>a change in Movement Area license type is entered by a company signer</w:t>
            </w:r>
          </w:p>
          <w:p w14:paraId="3144FF43" w14:textId="02EB89CC" w:rsidR="00ED42E2" w:rsidRDefault="00ED42E2" w:rsidP="003D296A">
            <w:pPr>
              <w:pStyle w:val="ListParagraph"/>
              <w:numPr>
                <w:ilvl w:val="0"/>
                <w:numId w:val="6"/>
              </w:numPr>
            </w:pPr>
            <w:r>
              <w:t>Employee MUST take the practical test within 75 days of passing the written test.  If not, the employee will need to retake the written test.</w:t>
            </w:r>
          </w:p>
          <w:p w14:paraId="02A6B1B7" w14:textId="77777777" w:rsidR="00EC081C" w:rsidRDefault="00EC081C" w:rsidP="003D296A">
            <w:pPr>
              <w:pStyle w:val="ListParagraph"/>
              <w:numPr>
                <w:ilvl w:val="0"/>
                <w:numId w:val="6"/>
              </w:numPr>
            </w:pPr>
            <w:r>
              <w:t xml:space="preserve">Employee should bring the following items to the DTC:  </w:t>
            </w:r>
          </w:p>
          <w:p w14:paraId="3540E0E9" w14:textId="77777777" w:rsidR="007E2F3D" w:rsidRDefault="005B6ED5" w:rsidP="003D296A">
            <w:pPr>
              <w:pStyle w:val="ListParagraph"/>
              <w:numPr>
                <w:ilvl w:val="1"/>
                <w:numId w:val="6"/>
              </w:numPr>
            </w:pPr>
            <w:r w:rsidRPr="005B6ED5">
              <w:t>Valid state driver’s license</w:t>
            </w:r>
          </w:p>
          <w:p w14:paraId="324CBDE6" w14:textId="510B3018" w:rsidR="005B6ED5" w:rsidRDefault="005B6ED5" w:rsidP="003D296A">
            <w:pPr>
              <w:pStyle w:val="ListParagraph"/>
              <w:numPr>
                <w:ilvl w:val="1"/>
                <w:numId w:val="6"/>
              </w:numPr>
            </w:pPr>
            <w:r w:rsidRPr="005B6ED5">
              <w:t>SIDA badge</w:t>
            </w:r>
          </w:p>
          <w:p w14:paraId="39DB9F1A" w14:textId="62F26A4B" w:rsidR="007276B3" w:rsidRPr="005B6ED5" w:rsidRDefault="007276B3" w:rsidP="003D296A">
            <w:pPr>
              <w:pStyle w:val="ListParagraph"/>
              <w:numPr>
                <w:ilvl w:val="1"/>
                <w:numId w:val="6"/>
              </w:numPr>
            </w:pPr>
            <w:r>
              <w:t>Company vehicle</w:t>
            </w:r>
          </w:p>
          <w:p w14:paraId="34D6B0EF" w14:textId="2AA5D178" w:rsidR="00EC081C" w:rsidRDefault="00EC081C" w:rsidP="003D296A">
            <w:pPr>
              <w:pStyle w:val="ListParagraph"/>
              <w:numPr>
                <w:ilvl w:val="0"/>
                <w:numId w:val="6"/>
              </w:numPr>
            </w:pPr>
            <w:r>
              <w:t xml:space="preserve">Employee takes the Practical </w:t>
            </w:r>
            <w:r w:rsidR="005552E8">
              <w:t>T</w:t>
            </w:r>
            <w:r>
              <w:t>est</w:t>
            </w:r>
          </w:p>
          <w:p w14:paraId="66D3D15E" w14:textId="6095FA24" w:rsidR="00ED42E2" w:rsidRDefault="00EC081C" w:rsidP="003D296A">
            <w:pPr>
              <w:pStyle w:val="ListParagraph"/>
              <w:numPr>
                <w:ilvl w:val="1"/>
                <w:numId w:val="6"/>
              </w:numPr>
            </w:pPr>
            <w:r w:rsidRPr="00212604">
              <w:rPr>
                <w:u w:val="single"/>
              </w:rPr>
              <w:t>Test Pass</w:t>
            </w:r>
            <w:r>
              <w:t xml:space="preserve">:  Employee will receive an email stating they are now </w:t>
            </w:r>
            <w:r w:rsidR="0030045D">
              <w:t>allowed</w:t>
            </w:r>
            <w:r>
              <w:t xml:space="preserve"> to drive </w:t>
            </w:r>
            <w:r w:rsidR="00DB675D">
              <w:t>in the</w:t>
            </w:r>
            <w:r>
              <w:t xml:space="preserve"> MSP Movement Area.  </w:t>
            </w:r>
          </w:p>
          <w:p w14:paraId="12113609" w14:textId="60733CF3" w:rsidR="00EC081C" w:rsidRDefault="00EC081C" w:rsidP="003D296A">
            <w:pPr>
              <w:pStyle w:val="ListParagraph"/>
              <w:numPr>
                <w:ilvl w:val="1"/>
                <w:numId w:val="6"/>
              </w:numPr>
            </w:pPr>
            <w:r w:rsidRPr="00212604">
              <w:rPr>
                <w:u w:val="single"/>
              </w:rPr>
              <w:t>Test Fail</w:t>
            </w:r>
            <w:r>
              <w:t xml:space="preserve">: </w:t>
            </w:r>
            <w:r w:rsidR="0030045D">
              <w:t>S</w:t>
            </w:r>
            <w:r w:rsidRPr="00344B00">
              <w:t xml:space="preserve">upervisor </w:t>
            </w:r>
            <w:r>
              <w:t xml:space="preserve">will </w:t>
            </w:r>
            <w:r w:rsidR="00800B32">
              <w:t xml:space="preserve">receive an email </w:t>
            </w:r>
            <w:r w:rsidR="009F5555">
              <w:t>advising of</w:t>
            </w:r>
            <w:r w:rsidR="00800B32">
              <w:t xml:space="preserve"> </w:t>
            </w:r>
            <w:r w:rsidR="00F67036">
              <w:t xml:space="preserve">the </w:t>
            </w:r>
            <w:r>
              <w:t xml:space="preserve">need to schedule a retake for another day.  </w:t>
            </w:r>
          </w:p>
        </w:tc>
      </w:tr>
      <w:tr w:rsidR="00ED42E2" w14:paraId="711B2447" w14:textId="77777777" w:rsidTr="00ED42E2">
        <w:tc>
          <w:tcPr>
            <w:tcW w:w="10345" w:type="dxa"/>
            <w:gridSpan w:val="2"/>
            <w:shd w:val="clear" w:color="auto" w:fill="0F4761" w:themeFill="accent1" w:themeFillShade="BF"/>
          </w:tcPr>
          <w:p w14:paraId="5FE86297" w14:textId="5F6BF6CD" w:rsidR="00ED42E2" w:rsidRPr="00242B96" w:rsidRDefault="00ED42E2" w:rsidP="00ED42E2">
            <w:pPr>
              <w:jc w:val="center"/>
              <w:rPr>
                <w:sz w:val="24"/>
                <w:szCs w:val="24"/>
              </w:rPr>
            </w:pPr>
            <w:r w:rsidRPr="00242B96">
              <w:rPr>
                <w:b/>
                <w:bCs/>
                <w:sz w:val="24"/>
                <w:szCs w:val="24"/>
              </w:rPr>
              <w:t>Renewals/Expirations</w:t>
            </w:r>
          </w:p>
        </w:tc>
      </w:tr>
      <w:tr w:rsidR="00ED42E2" w14:paraId="134BD2BE" w14:textId="77777777" w:rsidTr="00BC4D18">
        <w:tc>
          <w:tcPr>
            <w:tcW w:w="2785" w:type="dxa"/>
          </w:tcPr>
          <w:p w14:paraId="489C9CFE" w14:textId="63C5A391" w:rsidR="00ED42E2" w:rsidRDefault="00ED42E2">
            <w:r>
              <w:t>Renewals</w:t>
            </w:r>
          </w:p>
        </w:tc>
        <w:tc>
          <w:tcPr>
            <w:tcW w:w="7560" w:type="dxa"/>
          </w:tcPr>
          <w:p w14:paraId="044AA51E" w14:textId="5E266D80" w:rsidR="00ED42E2" w:rsidRDefault="00094BA8" w:rsidP="00094BA8">
            <w:r>
              <w:t xml:space="preserve">The employee’s </w:t>
            </w:r>
            <w:r w:rsidR="00521A69">
              <w:t>S</w:t>
            </w:r>
            <w:r>
              <w:t xml:space="preserve">upervisor will receive an email </w:t>
            </w:r>
            <w:r w:rsidR="00521A69">
              <w:t>one</w:t>
            </w:r>
            <w:r>
              <w:t xml:space="preserve"> month prior to an </w:t>
            </w:r>
            <w:r w:rsidR="000F3B91">
              <w:t>employee</w:t>
            </w:r>
            <w:r w:rsidR="00D610F3">
              <w:t>’s</w:t>
            </w:r>
            <w:r>
              <w:t xml:space="preserve"> </w:t>
            </w:r>
            <w:r w:rsidR="003800DD">
              <w:t>driver’s</w:t>
            </w:r>
            <w:r>
              <w:t xml:space="preserve"> license expiration date.  </w:t>
            </w:r>
          </w:p>
          <w:p w14:paraId="4142B3A4" w14:textId="73D55CC3" w:rsidR="00094BA8" w:rsidRDefault="00094BA8" w:rsidP="00094BA8">
            <w:pPr>
              <w:pStyle w:val="ListParagraph"/>
              <w:numPr>
                <w:ilvl w:val="0"/>
                <w:numId w:val="7"/>
              </w:numPr>
            </w:pPr>
            <w:r>
              <w:t xml:space="preserve">Drivers are required to retake the </w:t>
            </w:r>
            <w:r w:rsidRPr="00094BA8">
              <w:rPr>
                <w:b/>
                <w:bCs/>
              </w:rPr>
              <w:t>MSP Non</w:t>
            </w:r>
            <w:r>
              <w:rPr>
                <w:b/>
                <w:bCs/>
              </w:rPr>
              <w:t>-</w:t>
            </w:r>
            <w:r w:rsidRPr="00094BA8">
              <w:rPr>
                <w:b/>
                <w:bCs/>
              </w:rPr>
              <w:t>Movement</w:t>
            </w:r>
            <w:r>
              <w:t xml:space="preserve"> </w:t>
            </w:r>
            <w:r w:rsidRPr="00094BA8">
              <w:rPr>
                <w:b/>
                <w:bCs/>
              </w:rPr>
              <w:t>Area</w:t>
            </w:r>
            <w:r>
              <w:t xml:space="preserve"> </w:t>
            </w:r>
            <w:r w:rsidRPr="009A72C7">
              <w:rPr>
                <w:b/>
                <w:bCs/>
              </w:rPr>
              <w:t>training</w:t>
            </w:r>
            <w:r>
              <w:t xml:space="preserve"> every 24 months.  The email will include the LMS link to share with the employee.  </w:t>
            </w:r>
          </w:p>
          <w:p w14:paraId="3B3FA28D" w14:textId="50D1DE8E" w:rsidR="00094BA8" w:rsidRDefault="00094BA8" w:rsidP="00094BA8">
            <w:pPr>
              <w:pStyle w:val="ListParagraph"/>
              <w:numPr>
                <w:ilvl w:val="0"/>
                <w:numId w:val="7"/>
              </w:numPr>
            </w:pPr>
            <w:r>
              <w:t xml:space="preserve">Drivers are required to retake the </w:t>
            </w:r>
            <w:r w:rsidRPr="00094BA8">
              <w:rPr>
                <w:b/>
                <w:bCs/>
              </w:rPr>
              <w:t>MSP Movement-Area</w:t>
            </w:r>
            <w:r>
              <w:t xml:space="preserve"> </w:t>
            </w:r>
            <w:r w:rsidRPr="009A72C7">
              <w:rPr>
                <w:b/>
                <w:bCs/>
              </w:rPr>
              <w:t>test</w:t>
            </w:r>
            <w:r>
              <w:t xml:space="preserve"> every 12 months.  The email will include </w:t>
            </w:r>
            <w:r w:rsidR="00B414E0">
              <w:t>a</w:t>
            </w:r>
            <w:r>
              <w:t xml:space="preserve"> link for the supervisor to schedule the test </w:t>
            </w:r>
            <w:r w:rsidR="00B414E0">
              <w:t>and coordinate with</w:t>
            </w:r>
            <w:r>
              <w:t xml:space="preserve"> the employee.  </w:t>
            </w:r>
          </w:p>
        </w:tc>
      </w:tr>
      <w:tr w:rsidR="00ED42E2" w14:paraId="5D27B322" w14:textId="77777777" w:rsidTr="00BC4D18">
        <w:tc>
          <w:tcPr>
            <w:tcW w:w="2785" w:type="dxa"/>
          </w:tcPr>
          <w:p w14:paraId="685385A5" w14:textId="1A14958F" w:rsidR="00ED42E2" w:rsidRDefault="00ED42E2">
            <w:r>
              <w:t>Expirations</w:t>
            </w:r>
          </w:p>
        </w:tc>
        <w:tc>
          <w:tcPr>
            <w:tcW w:w="7560" w:type="dxa"/>
          </w:tcPr>
          <w:p w14:paraId="7E82C48E" w14:textId="1346D1D1" w:rsidR="00ED42E2" w:rsidRPr="000226DE" w:rsidRDefault="00094BA8" w:rsidP="00094BA8">
            <w:r w:rsidRPr="00171C91">
              <w:rPr>
                <w:b/>
                <w:bCs/>
                <w:highlight w:val="yellow"/>
              </w:rPr>
              <w:t xml:space="preserve">If </w:t>
            </w:r>
            <w:r w:rsidR="00203F85" w:rsidRPr="00171C91">
              <w:rPr>
                <w:b/>
                <w:bCs/>
                <w:highlight w:val="yellow"/>
              </w:rPr>
              <w:t>an</w:t>
            </w:r>
            <w:r w:rsidRPr="00171C91">
              <w:rPr>
                <w:b/>
                <w:bCs/>
                <w:highlight w:val="yellow"/>
              </w:rPr>
              <w:t xml:space="preserve"> </w:t>
            </w:r>
            <w:r w:rsidR="00203F85" w:rsidRPr="00171C91">
              <w:rPr>
                <w:b/>
                <w:bCs/>
                <w:highlight w:val="yellow"/>
              </w:rPr>
              <w:t xml:space="preserve">employee’s MSP </w:t>
            </w:r>
            <w:r w:rsidR="00D5068E" w:rsidRPr="00171C91">
              <w:rPr>
                <w:b/>
                <w:bCs/>
                <w:highlight w:val="yellow"/>
              </w:rPr>
              <w:t>D</w:t>
            </w:r>
            <w:r w:rsidR="00D24725" w:rsidRPr="00171C91">
              <w:rPr>
                <w:b/>
                <w:bCs/>
                <w:highlight w:val="yellow"/>
              </w:rPr>
              <w:t>river’s</w:t>
            </w:r>
            <w:r w:rsidRPr="00171C91">
              <w:rPr>
                <w:b/>
                <w:bCs/>
                <w:highlight w:val="yellow"/>
              </w:rPr>
              <w:t xml:space="preserve"> </w:t>
            </w:r>
            <w:r w:rsidR="00D5068E" w:rsidRPr="00171C91">
              <w:rPr>
                <w:b/>
                <w:bCs/>
                <w:highlight w:val="yellow"/>
              </w:rPr>
              <w:t>L</w:t>
            </w:r>
            <w:r w:rsidR="004E5E9E" w:rsidRPr="00171C91">
              <w:rPr>
                <w:b/>
                <w:bCs/>
                <w:highlight w:val="yellow"/>
              </w:rPr>
              <w:t>icense</w:t>
            </w:r>
            <w:r w:rsidRPr="00171C91">
              <w:rPr>
                <w:b/>
                <w:bCs/>
                <w:highlight w:val="yellow"/>
              </w:rPr>
              <w:t xml:space="preserve"> </w:t>
            </w:r>
            <w:r w:rsidR="000E7079" w:rsidRPr="00171C91">
              <w:rPr>
                <w:b/>
                <w:bCs/>
                <w:highlight w:val="yellow"/>
              </w:rPr>
              <w:t>has</w:t>
            </w:r>
            <w:r w:rsidRPr="00171C91">
              <w:rPr>
                <w:b/>
                <w:bCs/>
                <w:highlight w:val="yellow"/>
              </w:rPr>
              <w:t xml:space="preserve"> expired, the driver must IMMEDIATELY </w:t>
            </w:r>
            <w:r w:rsidR="00203F85" w:rsidRPr="00171C91">
              <w:rPr>
                <w:b/>
                <w:bCs/>
                <w:highlight w:val="yellow"/>
              </w:rPr>
              <w:t>stop</w:t>
            </w:r>
            <w:r w:rsidRPr="00171C91">
              <w:rPr>
                <w:b/>
                <w:bCs/>
                <w:highlight w:val="yellow"/>
              </w:rPr>
              <w:t xml:space="preserve"> driving </w:t>
            </w:r>
            <w:r w:rsidR="00DB675D">
              <w:rPr>
                <w:b/>
                <w:bCs/>
                <w:highlight w:val="yellow"/>
              </w:rPr>
              <w:t>in the</w:t>
            </w:r>
            <w:r w:rsidRPr="00171C91">
              <w:rPr>
                <w:b/>
                <w:bCs/>
                <w:highlight w:val="yellow"/>
              </w:rPr>
              <w:t xml:space="preserve"> AOA.</w:t>
            </w:r>
            <w:r w:rsidRPr="00DF436F">
              <w:rPr>
                <w:b/>
                <w:bCs/>
              </w:rPr>
              <w:t xml:space="preserve">  </w:t>
            </w:r>
            <w:r w:rsidR="00171C91" w:rsidRPr="00511296">
              <w:rPr>
                <w:color w:val="000000" w:themeColor="text1"/>
              </w:rPr>
              <w:t>The</w:t>
            </w:r>
            <w:r w:rsidR="00A33AA4" w:rsidRPr="00511296">
              <w:rPr>
                <w:color w:val="000000" w:themeColor="text1"/>
              </w:rPr>
              <w:t xml:space="preserve"> employee</w:t>
            </w:r>
            <w:r w:rsidR="004B2249" w:rsidRPr="00511296">
              <w:rPr>
                <w:color w:val="000000" w:themeColor="text1"/>
              </w:rPr>
              <w:t>’</w:t>
            </w:r>
            <w:r w:rsidR="00A33AA4" w:rsidRPr="00511296">
              <w:rPr>
                <w:color w:val="000000" w:themeColor="text1"/>
              </w:rPr>
              <w:t>s Supervisor will receive an email</w:t>
            </w:r>
            <w:r w:rsidR="00511296" w:rsidRPr="00511296">
              <w:rPr>
                <w:color w:val="000000" w:themeColor="text1"/>
              </w:rPr>
              <w:t xml:space="preserve"> explaining this and stating action required if driver is still required to drive </w:t>
            </w:r>
            <w:r w:rsidR="00DB675D">
              <w:rPr>
                <w:color w:val="000000" w:themeColor="text1"/>
              </w:rPr>
              <w:t>in the</w:t>
            </w:r>
            <w:r w:rsidR="00511296" w:rsidRPr="00511296">
              <w:rPr>
                <w:color w:val="000000" w:themeColor="text1"/>
              </w:rPr>
              <w:t xml:space="preserve"> AOA at MSP. </w:t>
            </w:r>
            <w:r w:rsidR="00337E73" w:rsidRPr="00511296">
              <w:rPr>
                <w:color w:val="000000" w:themeColor="text1"/>
              </w:rPr>
              <w:t xml:space="preserve"> </w:t>
            </w:r>
          </w:p>
          <w:p w14:paraId="00D03282" w14:textId="77777777" w:rsidR="00837EBC" w:rsidRPr="00DF436F" w:rsidRDefault="00837EBC" w:rsidP="00094BA8">
            <w:pPr>
              <w:rPr>
                <w:b/>
                <w:bCs/>
              </w:rPr>
            </w:pPr>
          </w:p>
          <w:p w14:paraId="6AB3A7E6" w14:textId="3EEE84C1" w:rsidR="00094BA8" w:rsidRDefault="00837EBC" w:rsidP="00094BA8">
            <w:r w:rsidRPr="008B20DB">
              <w:rPr>
                <w:b/>
                <w:bCs/>
              </w:rPr>
              <w:t>ACTIONS REQUIRED</w:t>
            </w:r>
            <w:r>
              <w:rPr>
                <w:b/>
                <w:bCs/>
              </w:rPr>
              <w:t xml:space="preserve"> BY </w:t>
            </w:r>
            <w:r w:rsidR="00D375E0">
              <w:rPr>
                <w:b/>
                <w:bCs/>
              </w:rPr>
              <w:t xml:space="preserve">COMPANY’S AUTHORIZED </w:t>
            </w:r>
            <w:r>
              <w:rPr>
                <w:b/>
                <w:bCs/>
              </w:rPr>
              <w:t>SIGNER.</w:t>
            </w:r>
            <w:r>
              <w:t xml:space="preserve"> </w:t>
            </w:r>
          </w:p>
          <w:p w14:paraId="320CB479" w14:textId="5F67B2AF" w:rsidR="00D375E0" w:rsidRDefault="00376A59" w:rsidP="00D375E0">
            <w:pPr>
              <w:pStyle w:val="ListParagraph"/>
              <w:numPr>
                <w:ilvl w:val="0"/>
                <w:numId w:val="6"/>
              </w:num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2" behindDoc="0" locked="0" layoutInCell="1" allowOverlap="1" wp14:anchorId="58675CAF" wp14:editId="283EC3DC">
                  <wp:simplePos x="0" y="0"/>
                  <wp:positionH relativeFrom="column">
                    <wp:posOffset>3754755</wp:posOffset>
                  </wp:positionH>
                  <wp:positionV relativeFrom="paragraph">
                    <wp:posOffset>15543</wp:posOffset>
                  </wp:positionV>
                  <wp:extent cx="914400" cy="852805"/>
                  <wp:effectExtent l="0" t="0" r="0" b="4445"/>
                  <wp:wrapSquare wrapText="bothSides"/>
                  <wp:docPr id="21208423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84234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7DA7">
              <w:t xml:space="preserve">If the </w:t>
            </w:r>
            <w:r w:rsidR="006066E6">
              <w:t>E</w:t>
            </w:r>
            <w:r w:rsidR="00094BA8">
              <w:t xml:space="preserve">mployee is still required to drive </w:t>
            </w:r>
            <w:r w:rsidR="00DB675D">
              <w:t>in the</w:t>
            </w:r>
            <w:r w:rsidR="00094BA8">
              <w:t xml:space="preserve"> MSP AOA</w:t>
            </w:r>
            <w:r w:rsidR="00717DA7">
              <w:t xml:space="preserve">, the signer will need to </w:t>
            </w:r>
            <w:r w:rsidR="00194CEF">
              <w:t>enter the driving needs</w:t>
            </w:r>
            <w:r w:rsidR="00D375E0">
              <w:t xml:space="preserve"> </w:t>
            </w:r>
            <w:r w:rsidR="009A3847">
              <w:t xml:space="preserve">in </w:t>
            </w:r>
            <w:r w:rsidR="00CF568B">
              <w:t>the MSP Signer Portal</w:t>
            </w:r>
            <w:r w:rsidR="00943F67">
              <w:t xml:space="preserve">.  This will </w:t>
            </w:r>
            <w:r w:rsidR="00094BA8">
              <w:t xml:space="preserve">trigger the proper training and testing steps to reactivate the </w:t>
            </w:r>
            <w:r w:rsidR="00315FFD">
              <w:t>employee’s</w:t>
            </w:r>
            <w:r w:rsidR="00094BA8">
              <w:t xml:space="preserve"> license. </w:t>
            </w:r>
          </w:p>
          <w:p w14:paraId="673AFDCE" w14:textId="1DFA826B" w:rsidR="00094BA8" w:rsidRDefault="008E0D67" w:rsidP="003D72D1">
            <w:pPr>
              <w:pStyle w:val="ListParagraph"/>
              <w:numPr>
                <w:ilvl w:val="0"/>
                <w:numId w:val="6"/>
              </w:numPr>
            </w:pPr>
            <w:r w:rsidRPr="008E0D6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ADB4D0" wp14:editId="5551D07D">
                  <wp:simplePos x="0" y="0"/>
                  <wp:positionH relativeFrom="column">
                    <wp:posOffset>3752850</wp:posOffset>
                  </wp:positionH>
                  <wp:positionV relativeFrom="paragraph">
                    <wp:posOffset>40640</wp:posOffset>
                  </wp:positionV>
                  <wp:extent cx="915035" cy="840740"/>
                  <wp:effectExtent l="0" t="0" r="0" b="0"/>
                  <wp:wrapSquare wrapText="bothSides"/>
                  <wp:docPr id="15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E0359E-3F96-254A-D03D-6CBFDA04F9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50E0359E-3F96-254A-D03D-6CBFDA04F9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1E1">
              <w:t xml:space="preserve">If </w:t>
            </w:r>
            <w:r w:rsidR="003D72D1">
              <w:t>the individual is n</w:t>
            </w:r>
            <w:r w:rsidR="00094BA8">
              <w:t>o longer an employee</w:t>
            </w:r>
            <w:r w:rsidR="003D72D1">
              <w:t>, the signer will need to s</w:t>
            </w:r>
            <w:r w:rsidR="008F1B75">
              <w:t>el</w:t>
            </w:r>
            <w:r w:rsidR="00D326C5">
              <w:t xml:space="preserve">ect “Badge Deactivation” </w:t>
            </w:r>
            <w:r w:rsidR="003D72D1">
              <w:t xml:space="preserve">within the MSP Signer Portal. </w:t>
            </w:r>
          </w:p>
        </w:tc>
      </w:tr>
    </w:tbl>
    <w:p w14:paraId="74A7B0B8" w14:textId="1C51539E" w:rsidR="00B00073" w:rsidRPr="00B00073" w:rsidRDefault="00B00073" w:rsidP="00B00073">
      <w:pPr>
        <w:pStyle w:val="Heading2"/>
      </w:pPr>
      <w:r w:rsidRPr="00B00073">
        <w:lastRenderedPageBreak/>
        <w:t xml:space="preserve">Drivers Training Center Contact Information  </w:t>
      </w:r>
    </w:p>
    <w:p w14:paraId="603380DF" w14:textId="77777777" w:rsidR="00B00073" w:rsidRPr="00B00073" w:rsidRDefault="00B00073" w:rsidP="00B00073">
      <w:pPr>
        <w:numPr>
          <w:ilvl w:val="1"/>
          <w:numId w:val="10"/>
        </w:numPr>
      </w:pPr>
      <w:r w:rsidRPr="00B00073">
        <w:t xml:space="preserve">Email: </w:t>
      </w:r>
      <w:hyperlink r:id="rId19" w:history="1">
        <w:r w:rsidRPr="00B00073">
          <w:rPr>
            <w:rStyle w:val="Hyperlink"/>
          </w:rPr>
          <w:t>DTC@mspmac.org</w:t>
        </w:r>
      </w:hyperlink>
      <w:r w:rsidRPr="00B00073">
        <w:t xml:space="preserve">  </w:t>
      </w:r>
    </w:p>
    <w:p w14:paraId="32E3D8EF" w14:textId="77777777" w:rsidR="00B00073" w:rsidRPr="00B00073" w:rsidRDefault="00B00073" w:rsidP="00B00073">
      <w:pPr>
        <w:numPr>
          <w:ilvl w:val="1"/>
          <w:numId w:val="10"/>
        </w:numPr>
      </w:pPr>
      <w:r w:rsidRPr="00B00073">
        <w:t>Phone: 612-467-0974</w:t>
      </w:r>
    </w:p>
    <w:p w14:paraId="06407E9A" w14:textId="77777777" w:rsidR="00441E4F" w:rsidRPr="00441E4F" w:rsidRDefault="00B00073" w:rsidP="00330087">
      <w:pPr>
        <w:numPr>
          <w:ilvl w:val="1"/>
          <w:numId w:val="10"/>
        </w:numPr>
        <w:spacing w:after="0"/>
        <w:rPr>
          <w:color w:val="000000" w:themeColor="text1"/>
        </w:rPr>
      </w:pPr>
      <w:r w:rsidRPr="00441E4F">
        <w:rPr>
          <w:color w:val="000000" w:themeColor="text1"/>
        </w:rPr>
        <w:t xml:space="preserve">Address: </w:t>
      </w:r>
    </w:p>
    <w:p w14:paraId="4E54F9A6" w14:textId="77777777" w:rsidR="00441E4F" w:rsidRDefault="1FA5C494" w:rsidP="00330087">
      <w:pPr>
        <w:spacing w:after="0"/>
        <w:ind w:left="1080"/>
      </w:pPr>
      <w:r>
        <w:t>7550 23</w:t>
      </w:r>
      <w:r w:rsidRPr="004C591E">
        <w:rPr>
          <w:vertAlign w:val="superscript"/>
        </w:rPr>
        <w:t>rd</w:t>
      </w:r>
      <w:r>
        <w:t xml:space="preserve"> Ave South </w:t>
      </w:r>
    </w:p>
    <w:p w14:paraId="5A4D5FC5" w14:textId="5000F231" w:rsidR="00B00073" w:rsidRDefault="00A404C5" w:rsidP="00330087">
      <w:pPr>
        <w:spacing w:after="0"/>
        <w:ind w:left="1080"/>
      </w:pPr>
      <w:r>
        <w:t>Minneapolis</w:t>
      </w:r>
      <w:r w:rsidR="00217526">
        <w:t>, MN 554</w:t>
      </w:r>
      <w:r w:rsidR="00441E4F">
        <w:t>5</w:t>
      </w:r>
      <w:r w:rsidR="00217526">
        <w:t>0</w:t>
      </w:r>
    </w:p>
    <w:p w14:paraId="598AC83E" w14:textId="71A009F5" w:rsidR="00330087" w:rsidRDefault="00330087" w:rsidP="00330087">
      <w:pPr>
        <w:tabs>
          <w:tab w:val="num" w:pos="1080"/>
        </w:tabs>
        <w:spacing w:after="0"/>
        <w:ind w:left="1080"/>
        <w:rPr>
          <w:rFonts w:asciiTheme="majorHAnsi" w:eastAsiaTheme="majorEastAsia" w:hAnsiTheme="majorHAnsi" w:cstheme="majorBidi"/>
        </w:rPr>
      </w:pPr>
      <w:hyperlink r:id="rId20" w:history="1">
        <w:r w:rsidRPr="003D3952">
          <w:rPr>
            <w:rStyle w:val="Hyperlink"/>
            <w:rFonts w:asciiTheme="majorHAnsi" w:eastAsiaTheme="majorEastAsia" w:hAnsiTheme="majorHAnsi" w:cstheme="majorBidi"/>
          </w:rPr>
          <w:t>Directions</w:t>
        </w:r>
      </w:hyperlink>
      <w:r w:rsidRPr="00A404C5">
        <w:rPr>
          <w:rFonts w:asciiTheme="majorHAnsi" w:eastAsiaTheme="majorEastAsia" w:hAnsiTheme="majorHAnsi" w:cstheme="majorBidi"/>
        </w:rPr>
        <w:t xml:space="preserve"> to the Drivers Training Center</w:t>
      </w:r>
    </w:p>
    <w:sectPr w:rsidR="00330087" w:rsidSect="002E0E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20E"/>
    <w:multiLevelType w:val="hybridMultilevel"/>
    <w:tmpl w:val="F668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7ECC"/>
    <w:multiLevelType w:val="hybridMultilevel"/>
    <w:tmpl w:val="4F4E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5A6A"/>
    <w:multiLevelType w:val="hybridMultilevel"/>
    <w:tmpl w:val="BE56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A4700"/>
    <w:multiLevelType w:val="hybridMultilevel"/>
    <w:tmpl w:val="E4AE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00B1"/>
    <w:multiLevelType w:val="hybridMultilevel"/>
    <w:tmpl w:val="715E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64E32"/>
    <w:multiLevelType w:val="hybridMultilevel"/>
    <w:tmpl w:val="266EC66E"/>
    <w:lvl w:ilvl="0" w:tplc="00806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43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217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4002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29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82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C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E60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E2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511F"/>
    <w:multiLevelType w:val="hybridMultilevel"/>
    <w:tmpl w:val="968AB15A"/>
    <w:lvl w:ilvl="0" w:tplc="76B223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EEB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DE04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A6E4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7324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262A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C88A4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0B6B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349B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52F1237D"/>
    <w:multiLevelType w:val="hybridMultilevel"/>
    <w:tmpl w:val="33E0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1646"/>
    <w:multiLevelType w:val="hybridMultilevel"/>
    <w:tmpl w:val="7C8E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81A3A"/>
    <w:multiLevelType w:val="hybridMultilevel"/>
    <w:tmpl w:val="B44E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4120D"/>
    <w:multiLevelType w:val="hybridMultilevel"/>
    <w:tmpl w:val="6AC8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442F4"/>
    <w:multiLevelType w:val="hybridMultilevel"/>
    <w:tmpl w:val="19EE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B46D9"/>
    <w:multiLevelType w:val="hybridMultilevel"/>
    <w:tmpl w:val="5B7C3F02"/>
    <w:lvl w:ilvl="0" w:tplc="F7D407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24D5B"/>
    <w:multiLevelType w:val="hybridMultilevel"/>
    <w:tmpl w:val="D332DCF2"/>
    <w:lvl w:ilvl="0" w:tplc="E8E642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FA7AD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B2AE4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184DC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52642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CD2EE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DC74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E4C296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42A3C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9997078">
    <w:abstractNumId w:val="11"/>
  </w:num>
  <w:num w:numId="2" w16cid:durableId="13458384">
    <w:abstractNumId w:val="3"/>
  </w:num>
  <w:num w:numId="3" w16cid:durableId="1309747899">
    <w:abstractNumId w:val="0"/>
  </w:num>
  <w:num w:numId="4" w16cid:durableId="1453862324">
    <w:abstractNumId w:val="4"/>
  </w:num>
  <w:num w:numId="5" w16cid:durableId="1542356172">
    <w:abstractNumId w:val="10"/>
  </w:num>
  <w:num w:numId="6" w16cid:durableId="1529173648">
    <w:abstractNumId w:val="1"/>
  </w:num>
  <w:num w:numId="7" w16cid:durableId="436219569">
    <w:abstractNumId w:val="9"/>
  </w:num>
  <w:num w:numId="8" w16cid:durableId="20016894">
    <w:abstractNumId w:val="8"/>
  </w:num>
  <w:num w:numId="9" w16cid:durableId="894001164">
    <w:abstractNumId w:val="12"/>
  </w:num>
  <w:num w:numId="10" w16cid:durableId="618609195">
    <w:abstractNumId w:val="13"/>
  </w:num>
  <w:num w:numId="11" w16cid:durableId="2095201274">
    <w:abstractNumId w:val="6"/>
  </w:num>
  <w:num w:numId="12" w16cid:durableId="914172507">
    <w:abstractNumId w:val="5"/>
  </w:num>
  <w:num w:numId="13" w16cid:durableId="1957447764">
    <w:abstractNumId w:val="2"/>
  </w:num>
  <w:num w:numId="14" w16cid:durableId="1039554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9D"/>
    <w:rsid w:val="000016C1"/>
    <w:rsid w:val="000024CD"/>
    <w:rsid w:val="0000315A"/>
    <w:rsid w:val="00012C33"/>
    <w:rsid w:val="0001406D"/>
    <w:rsid w:val="000226DE"/>
    <w:rsid w:val="00023821"/>
    <w:rsid w:val="0005435F"/>
    <w:rsid w:val="00061C56"/>
    <w:rsid w:val="000627F0"/>
    <w:rsid w:val="0008170A"/>
    <w:rsid w:val="00094BA8"/>
    <w:rsid w:val="00095B95"/>
    <w:rsid w:val="000A0958"/>
    <w:rsid w:val="000A126B"/>
    <w:rsid w:val="000A66B1"/>
    <w:rsid w:val="000A7C8A"/>
    <w:rsid w:val="000A7D68"/>
    <w:rsid w:val="000B4735"/>
    <w:rsid w:val="000C4707"/>
    <w:rsid w:val="000C63B7"/>
    <w:rsid w:val="000E176D"/>
    <w:rsid w:val="000E2A98"/>
    <w:rsid w:val="000E4871"/>
    <w:rsid w:val="000E57AA"/>
    <w:rsid w:val="000E7079"/>
    <w:rsid w:val="000F3B91"/>
    <w:rsid w:val="000F5E8C"/>
    <w:rsid w:val="0010529E"/>
    <w:rsid w:val="001064F2"/>
    <w:rsid w:val="00113D6B"/>
    <w:rsid w:val="00115F8A"/>
    <w:rsid w:val="00121654"/>
    <w:rsid w:val="00143444"/>
    <w:rsid w:val="00143720"/>
    <w:rsid w:val="00153ED6"/>
    <w:rsid w:val="00171C91"/>
    <w:rsid w:val="00175A57"/>
    <w:rsid w:val="00181DCF"/>
    <w:rsid w:val="001904B5"/>
    <w:rsid w:val="00190CDF"/>
    <w:rsid w:val="00194CEF"/>
    <w:rsid w:val="001A22D5"/>
    <w:rsid w:val="001A2910"/>
    <w:rsid w:val="001A2A02"/>
    <w:rsid w:val="001B7075"/>
    <w:rsid w:val="001C5CF9"/>
    <w:rsid w:val="001C7EC0"/>
    <w:rsid w:val="001D03BA"/>
    <w:rsid w:val="001D393D"/>
    <w:rsid w:val="001D61B5"/>
    <w:rsid w:val="001D6216"/>
    <w:rsid w:val="001E3DFE"/>
    <w:rsid w:val="001E43AE"/>
    <w:rsid w:val="001E6F8C"/>
    <w:rsid w:val="001F5E62"/>
    <w:rsid w:val="001F630D"/>
    <w:rsid w:val="00203F85"/>
    <w:rsid w:val="00212604"/>
    <w:rsid w:val="00216B70"/>
    <w:rsid w:val="00217526"/>
    <w:rsid w:val="0022182C"/>
    <w:rsid w:val="00224D91"/>
    <w:rsid w:val="002270EE"/>
    <w:rsid w:val="0023725D"/>
    <w:rsid w:val="00242B96"/>
    <w:rsid w:val="00246FC6"/>
    <w:rsid w:val="002478F8"/>
    <w:rsid w:val="00253899"/>
    <w:rsid w:val="00255354"/>
    <w:rsid w:val="00261E92"/>
    <w:rsid w:val="00266C47"/>
    <w:rsid w:val="00267D1A"/>
    <w:rsid w:val="0028729D"/>
    <w:rsid w:val="00287AFB"/>
    <w:rsid w:val="00293E0B"/>
    <w:rsid w:val="002A0210"/>
    <w:rsid w:val="002A1024"/>
    <w:rsid w:val="002A4AB3"/>
    <w:rsid w:val="002C544B"/>
    <w:rsid w:val="002D081B"/>
    <w:rsid w:val="002E0E6A"/>
    <w:rsid w:val="002E12EC"/>
    <w:rsid w:val="002E3198"/>
    <w:rsid w:val="002F1501"/>
    <w:rsid w:val="002F4B6B"/>
    <w:rsid w:val="002F6A30"/>
    <w:rsid w:val="0030045D"/>
    <w:rsid w:val="00306CB2"/>
    <w:rsid w:val="00310994"/>
    <w:rsid w:val="003118D5"/>
    <w:rsid w:val="00315FFD"/>
    <w:rsid w:val="00323044"/>
    <w:rsid w:val="00327B91"/>
    <w:rsid w:val="00330087"/>
    <w:rsid w:val="003335DE"/>
    <w:rsid w:val="00337E73"/>
    <w:rsid w:val="00344B00"/>
    <w:rsid w:val="0034657C"/>
    <w:rsid w:val="00357827"/>
    <w:rsid w:val="003608E4"/>
    <w:rsid w:val="003642DA"/>
    <w:rsid w:val="003655ED"/>
    <w:rsid w:val="00366717"/>
    <w:rsid w:val="00376A59"/>
    <w:rsid w:val="003800DD"/>
    <w:rsid w:val="00386008"/>
    <w:rsid w:val="003B5FC0"/>
    <w:rsid w:val="003B6FB6"/>
    <w:rsid w:val="003C0517"/>
    <w:rsid w:val="003C28E2"/>
    <w:rsid w:val="003C4942"/>
    <w:rsid w:val="003C5201"/>
    <w:rsid w:val="003C68C0"/>
    <w:rsid w:val="003D06DA"/>
    <w:rsid w:val="003D296A"/>
    <w:rsid w:val="003D3952"/>
    <w:rsid w:val="003D72D1"/>
    <w:rsid w:val="003E77BF"/>
    <w:rsid w:val="004111C3"/>
    <w:rsid w:val="00421AF7"/>
    <w:rsid w:val="00441E4F"/>
    <w:rsid w:val="004421DF"/>
    <w:rsid w:val="00452569"/>
    <w:rsid w:val="00454F98"/>
    <w:rsid w:val="004665A2"/>
    <w:rsid w:val="004728E7"/>
    <w:rsid w:val="00481A70"/>
    <w:rsid w:val="00482EAB"/>
    <w:rsid w:val="00483E42"/>
    <w:rsid w:val="00486436"/>
    <w:rsid w:val="004959F8"/>
    <w:rsid w:val="004A4990"/>
    <w:rsid w:val="004B2249"/>
    <w:rsid w:val="004C33AF"/>
    <w:rsid w:val="004C591E"/>
    <w:rsid w:val="004E5E9E"/>
    <w:rsid w:val="004E7CAF"/>
    <w:rsid w:val="004F7563"/>
    <w:rsid w:val="005057A4"/>
    <w:rsid w:val="00511296"/>
    <w:rsid w:val="005154D8"/>
    <w:rsid w:val="00521A69"/>
    <w:rsid w:val="00524562"/>
    <w:rsid w:val="005315D5"/>
    <w:rsid w:val="0054071C"/>
    <w:rsid w:val="0054547F"/>
    <w:rsid w:val="00545E51"/>
    <w:rsid w:val="005552E8"/>
    <w:rsid w:val="00555384"/>
    <w:rsid w:val="005711CD"/>
    <w:rsid w:val="0057473E"/>
    <w:rsid w:val="005B6ED5"/>
    <w:rsid w:val="005C2C66"/>
    <w:rsid w:val="005C5041"/>
    <w:rsid w:val="005D58E3"/>
    <w:rsid w:val="005E2F92"/>
    <w:rsid w:val="005E6A3A"/>
    <w:rsid w:val="005E75F7"/>
    <w:rsid w:val="005F2D09"/>
    <w:rsid w:val="005F3A99"/>
    <w:rsid w:val="005F6500"/>
    <w:rsid w:val="006066E6"/>
    <w:rsid w:val="00606DBC"/>
    <w:rsid w:val="00610EEF"/>
    <w:rsid w:val="006161CA"/>
    <w:rsid w:val="006215C5"/>
    <w:rsid w:val="00621822"/>
    <w:rsid w:val="00624741"/>
    <w:rsid w:val="006301B5"/>
    <w:rsid w:val="00632135"/>
    <w:rsid w:val="006356CD"/>
    <w:rsid w:val="0063605C"/>
    <w:rsid w:val="006363C3"/>
    <w:rsid w:val="006404F7"/>
    <w:rsid w:val="006424C1"/>
    <w:rsid w:val="00644A41"/>
    <w:rsid w:val="00644D8D"/>
    <w:rsid w:val="006465B6"/>
    <w:rsid w:val="00651809"/>
    <w:rsid w:val="0065443C"/>
    <w:rsid w:val="006608CD"/>
    <w:rsid w:val="006752B7"/>
    <w:rsid w:val="00686443"/>
    <w:rsid w:val="00686DA5"/>
    <w:rsid w:val="006956CA"/>
    <w:rsid w:val="00695C1F"/>
    <w:rsid w:val="006A614F"/>
    <w:rsid w:val="006A799B"/>
    <w:rsid w:val="006B458A"/>
    <w:rsid w:val="006C0062"/>
    <w:rsid w:val="006C08D2"/>
    <w:rsid w:val="006C6455"/>
    <w:rsid w:val="006D27EE"/>
    <w:rsid w:val="006D4748"/>
    <w:rsid w:val="006D47BD"/>
    <w:rsid w:val="006D54BB"/>
    <w:rsid w:val="006F5361"/>
    <w:rsid w:val="006F75D2"/>
    <w:rsid w:val="00701BB3"/>
    <w:rsid w:val="00717DA7"/>
    <w:rsid w:val="0072486D"/>
    <w:rsid w:val="007276B3"/>
    <w:rsid w:val="007346BC"/>
    <w:rsid w:val="00744278"/>
    <w:rsid w:val="0074465A"/>
    <w:rsid w:val="007470C3"/>
    <w:rsid w:val="00751C61"/>
    <w:rsid w:val="007556B2"/>
    <w:rsid w:val="0075712B"/>
    <w:rsid w:val="0076715D"/>
    <w:rsid w:val="00786110"/>
    <w:rsid w:val="007968C9"/>
    <w:rsid w:val="007B1791"/>
    <w:rsid w:val="007B61A3"/>
    <w:rsid w:val="007C56D8"/>
    <w:rsid w:val="007E006E"/>
    <w:rsid w:val="007E2F3D"/>
    <w:rsid w:val="007F205C"/>
    <w:rsid w:val="00800B32"/>
    <w:rsid w:val="00806208"/>
    <w:rsid w:val="008100A0"/>
    <w:rsid w:val="0081224B"/>
    <w:rsid w:val="00815241"/>
    <w:rsid w:val="0081567F"/>
    <w:rsid w:val="00837EBC"/>
    <w:rsid w:val="008433E9"/>
    <w:rsid w:val="008437EC"/>
    <w:rsid w:val="00847F7D"/>
    <w:rsid w:val="00851B55"/>
    <w:rsid w:val="008522F3"/>
    <w:rsid w:val="00855BE2"/>
    <w:rsid w:val="00857D88"/>
    <w:rsid w:val="00860ED5"/>
    <w:rsid w:val="00862AEE"/>
    <w:rsid w:val="00865B44"/>
    <w:rsid w:val="00876170"/>
    <w:rsid w:val="0088574C"/>
    <w:rsid w:val="008869EE"/>
    <w:rsid w:val="00896668"/>
    <w:rsid w:val="008A0358"/>
    <w:rsid w:val="008B1DE8"/>
    <w:rsid w:val="008B20DB"/>
    <w:rsid w:val="008B7662"/>
    <w:rsid w:val="008C739F"/>
    <w:rsid w:val="008D29A8"/>
    <w:rsid w:val="008D7446"/>
    <w:rsid w:val="008E0D67"/>
    <w:rsid w:val="008E4DE5"/>
    <w:rsid w:val="008F1B75"/>
    <w:rsid w:val="008F1D18"/>
    <w:rsid w:val="008F363C"/>
    <w:rsid w:val="008F50AD"/>
    <w:rsid w:val="008F587F"/>
    <w:rsid w:val="008F7064"/>
    <w:rsid w:val="009003BF"/>
    <w:rsid w:val="00916EC1"/>
    <w:rsid w:val="00917417"/>
    <w:rsid w:val="00923B02"/>
    <w:rsid w:val="009264A3"/>
    <w:rsid w:val="00927351"/>
    <w:rsid w:val="00927AB3"/>
    <w:rsid w:val="009368B6"/>
    <w:rsid w:val="009430B0"/>
    <w:rsid w:val="00943F67"/>
    <w:rsid w:val="0095056E"/>
    <w:rsid w:val="0098082B"/>
    <w:rsid w:val="00982FED"/>
    <w:rsid w:val="00994371"/>
    <w:rsid w:val="00995AC7"/>
    <w:rsid w:val="009A3847"/>
    <w:rsid w:val="009A4266"/>
    <w:rsid w:val="009A72C7"/>
    <w:rsid w:val="009B3073"/>
    <w:rsid w:val="009B7A91"/>
    <w:rsid w:val="009C0E6B"/>
    <w:rsid w:val="009C2F73"/>
    <w:rsid w:val="009C7773"/>
    <w:rsid w:val="009E4CBC"/>
    <w:rsid w:val="009E50B7"/>
    <w:rsid w:val="009F1FFD"/>
    <w:rsid w:val="009F2DF0"/>
    <w:rsid w:val="009F5555"/>
    <w:rsid w:val="00A10814"/>
    <w:rsid w:val="00A214BF"/>
    <w:rsid w:val="00A27692"/>
    <w:rsid w:val="00A27E44"/>
    <w:rsid w:val="00A33AA4"/>
    <w:rsid w:val="00A404C5"/>
    <w:rsid w:val="00A4678A"/>
    <w:rsid w:val="00A57B08"/>
    <w:rsid w:val="00A72366"/>
    <w:rsid w:val="00A7657F"/>
    <w:rsid w:val="00A90295"/>
    <w:rsid w:val="00A9341D"/>
    <w:rsid w:val="00AC2759"/>
    <w:rsid w:val="00AC2C11"/>
    <w:rsid w:val="00AC30B3"/>
    <w:rsid w:val="00AC529E"/>
    <w:rsid w:val="00AC7F52"/>
    <w:rsid w:val="00AD0AD9"/>
    <w:rsid w:val="00AD1FF6"/>
    <w:rsid w:val="00AD5C18"/>
    <w:rsid w:val="00AE0DDE"/>
    <w:rsid w:val="00AE1515"/>
    <w:rsid w:val="00AE2F68"/>
    <w:rsid w:val="00AF090D"/>
    <w:rsid w:val="00B00073"/>
    <w:rsid w:val="00B033DF"/>
    <w:rsid w:val="00B0787A"/>
    <w:rsid w:val="00B110B2"/>
    <w:rsid w:val="00B24A0A"/>
    <w:rsid w:val="00B3014D"/>
    <w:rsid w:val="00B35868"/>
    <w:rsid w:val="00B359C6"/>
    <w:rsid w:val="00B414E0"/>
    <w:rsid w:val="00B53174"/>
    <w:rsid w:val="00B550AE"/>
    <w:rsid w:val="00B56EAC"/>
    <w:rsid w:val="00B64F06"/>
    <w:rsid w:val="00B677DC"/>
    <w:rsid w:val="00B72AE9"/>
    <w:rsid w:val="00B80CF4"/>
    <w:rsid w:val="00B81FB0"/>
    <w:rsid w:val="00B95BB9"/>
    <w:rsid w:val="00BA22C2"/>
    <w:rsid w:val="00BB6FF3"/>
    <w:rsid w:val="00BC310A"/>
    <w:rsid w:val="00BC4D18"/>
    <w:rsid w:val="00BC6E63"/>
    <w:rsid w:val="00BC7149"/>
    <w:rsid w:val="00BE17EF"/>
    <w:rsid w:val="00BF1F41"/>
    <w:rsid w:val="00BF7A07"/>
    <w:rsid w:val="00C10BA7"/>
    <w:rsid w:val="00C150DD"/>
    <w:rsid w:val="00C164D1"/>
    <w:rsid w:val="00C3135D"/>
    <w:rsid w:val="00C32B30"/>
    <w:rsid w:val="00C3337F"/>
    <w:rsid w:val="00C43FF4"/>
    <w:rsid w:val="00C44E92"/>
    <w:rsid w:val="00C57072"/>
    <w:rsid w:val="00C64C60"/>
    <w:rsid w:val="00C654E7"/>
    <w:rsid w:val="00C664D3"/>
    <w:rsid w:val="00C749AF"/>
    <w:rsid w:val="00C81E25"/>
    <w:rsid w:val="00C918EF"/>
    <w:rsid w:val="00C91B97"/>
    <w:rsid w:val="00C92ACF"/>
    <w:rsid w:val="00CA02E1"/>
    <w:rsid w:val="00CB1C61"/>
    <w:rsid w:val="00CB71E8"/>
    <w:rsid w:val="00CC4119"/>
    <w:rsid w:val="00CE5B18"/>
    <w:rsid w:val="00CF06DC"/>
    <w:rsid w:val="00CF568B"/>
    <w:rsid w:val="00CF6AF8"/>
    <w:rsid w:val="00D15393"/>
    <w:rsid w:val="00D171FA"/>
    <w:rsid w:val="00D2236E"/>
    <w:rsid w:val="00D22909"/>
    <w:rsid w:val="00D22CF3"/>
    <w:rsid w:val="00D24725"/>
    <w:rsid w:val="00D30F3F"/>
    <w:rsid w:val="00D326C5"/>
    <w:rsid w:val="00D375E0"/>
    <w:rsid w:val="00D378F0"/>
    <w:rsid w:val="00D45245"/>
    <w:rsid w:val="00D477D6"/>
    <w:rsid w:val="00D5068E"/>
    <w:rsid w:val="00D50E0C"/>
    <w:rsid w:val="00D5510A"/>
    <w:rsid w:val="00D57107"/>
    <w:rsid w:val="00D610F3"/>
    <w:rsid w:val="00D649B8"/>
    <w:rsid w:val="00D66A04"/>
    <w:rsid w:val="00D7137F"/>
    <w:rsid w:val="00D71EEE"/>
    <w:rsid w:val="00D77425"/>
    <w:rsid w:val="00D8436E"/>
    <w:rsid w:val="00D8721B"/>
    <w:rsid w:val="00D96232"/>
    <w:rsid w:val="00DA257B"/>
    <w:rsid w:val="00DA55DC"/>
    <w:rsid w:val="00DA5FE4"/>
    <w:rsid w:val="00DB5932"/>
    <w:rsid w:val="00DB5CED"/>
    <w:rsid w:val="00DB675D"/>
    <w:rsid w:val="00DB6E80"/>
    <w:rsid w:val="00DC4553"/>
    <w:rsid w:val="00DD787D"/>
    <w:rsid w:val="00DE0886"/>
    <w:rsid w:val="00DE161A"/>
    <w:rsid w:val="00DE3FD8"/>
    <w:rsid w:val="00DF436F"/>
    <w:rsid w:val="00DF6610"/>
    <w:rsid w:val="00E1365B"/>
    <w:rsid w:val="00E1599C"/>
    <w:rsid w:val="00E170B8"/>
    <w:rsid w:val="00E203DC"/>
    <w:rsid w:val="00E23229"/>
    <w:rsid w:val="00E23DB4"/>
    <w:rsid w:val="00E2658F"/>
    <w:rsid w:val="00E31F4E"/>
    <w:rsid w:val="00E35B3C"/>
    <w:rsid w:val="00E36D40"/>
    <w:rsid w:val="00E40900"/>
    <w:rsid w:val="00E639DA"/>
    <w:rsid w:val="00E6456E"/>
    <w:rsid w:val="00E81CDA"/>
    <w:rsid w:val="00E838EB"/>
    <w:rsid w:val="00E86CA9"/>
    <w:rsid w:val="00E949B1"/>
    <w:rsid w:val="00EA3D80"/>
    <w:rsid w:val="00EA4438"/>
    <w:rsid w:val="00EC014A"/>
    <w:rsid w:val="00EC081C"/>
    <w:rsid w:val="00EC5077"/>
    <w:rsid w:val="00ED42E2"/>
    <w:rsid w:val="00ED6891"/>
    <w:rsid w:val="00EE6A2F"/>
    <w:rsid w:val="00EF69E7"/>
    <w:rsid w:val="00F039CF"/>
    <w:rsid w:val="00F12359"/>
    <w:rsid w:val="00F271D7"/>
    <w:rsid w:val="00F4498B"/>
    <w:rsid w:val="00F45B82"/>
    <w:rsid w:val="00F603F0"/>
    <w:rsid w:val="00F67036"/>
    <w:rsid w:val="00F671E1"/>
    <w:rsid w:val="00F67ABE"/>
    <w:rsid w:val="00F7629C"/>
    <w:rsid w:val="00F8429A"/>
    <w:rsid w:val="00F90D86"/>
    <w:rsid w:val="00F92947"/>
    <w:rsid w:val="00FA2166"/>
    <w:rsid w:val="00FA27F9"/>
    <w:rsid w:val="00FA3334"/>
    <w:rsid w:val="00FA3D7E"/>
    <w:rsid w:val="00FB5DF9"/>
    <w:rsid w:val="00FC0D6A"/>
    <w:rsid w:val="00FD0FCB"/>
    <w:rsid w:val="00FE0592"/>
    <w:rsid w:val="00FF2623"/>
    <w:rsid w:val="1FA5C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350A"/>
  <w15:chartTrackingRefBased/>
  <w15:docId w15:val="{D456C834-1FC1-4C1A-8C26-F9898127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2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5B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0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1F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9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030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13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mspsignerportal.mspairport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mymspconnect.com/sites/default/files/2025-03/Directions%20to%20Drivers%20Training%20Center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BAF93.4A1D7760" TargetMode="External"/><Relationship Id="rId5" Type="http://schemas.openxmlformats.org/officeDocument/2006/relationships/styles" Target="styles.xml"/><Relationship Id="rId15" Type="http://schemas.openxmlformats.org/officeDocument/2006/relationships/hyperlink" Target="https://mspsignerportal.mspairport.com/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DTC@mspmac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spsignerportal.mspairport.com/" TargetMode="External"/><Relationship Id="rId14" Type="http://schemas.openxmlformats.org/officeDocument/2006/relationships/hyperlink" Target="https://mspsignerportal.mspairport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672E28A710342A451255BA8F28371" ma:contentTypeVersion="14" ma:contentTypeDescription="Create a new document." ma:contentTypeScope="" ma:versionID="365050890e0bc49d53efe87924d1552a">
  <xsd:schema xmlns:xsd="http://www.w3.org/2001/XMLSchema" xmlns:xs="http://www.w3.org/2001/XMLSchema" xmlns:p="http://schemas.microsoft.com/office/2006/metadata/properties" xmlns:ns2="7ef6ce10-7ef2-468e-8e66-4d1cb1f09c74" xmlns:ns3="2cabb8e3-cf2a-4983-ac0d-74c45e696e48" xmlns:ns4="b882d378-6cd1-4eea-a711-4be59c7f8e2f" targetNamespace="http://schemas.microsoft.com/office/2006/metadata/properties" ma:root="true" ma:fieldsID="3753fab1b6955f667534d1c0b9372977" ns2:_="" ns3:_="" ns4:_="">
    <xsd:import namespace="7ef6ce10-7ef2-468e-8e66-4d1cb1f09c74"/>
    <xsd:import namespace="2cabb8e3-cf2a-4983-ac0d-74c45e696e48"/>
    <xsd:import namespace="b882d378-6cd1-4eea-a711-4be59c7f8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6ce10-7ef2-468e-8e66-4d1cb1f09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6fe55c7-b50a-4889-82ed-4401b00af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bb8e3-cf2a-4983-ac0d-74c45e696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2d378-6cd1-4eea-a711-4be59c7f8e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87c259-d464-4e3a-a732-45739e2d6a66}" ma:internalName="TaxCatchAll" ma:showField="CatchAllData" ma:web="2cabb8e3-cf2a-4983-ac0d-74c45e696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2d378-6cd1-4eea-a711-4be59c7f8e2f" xsi:nil="true"/>
    <lcf76f155ced4ddcb4097134ff3c332f xmlns="7ef6ce10-7ef2-468e-8e66-4d1cb1f09c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E8C9A6-0BF0-45EE-9AAD-5661DB79B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59C08-566E-4975-B197-85A52F33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6ce10-7ef2-468e-8e66-4d1cb1f09c74"/>
    <ds:schemaRef ds:uri="2cabb8e3-cf2a-4983-ac0d-74c45e696e48"/>
    <ds:schemaRef ds:uri="b882d378-6cd1-4eea-a711-4be59c7f8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F0E6E-D690-499E-A83B-E785A22293A5}">
  <ds:schemaRefs>
    <ds:schemaRef ds:uri="http://schemas.microsoft.com/office/2006/metadata/properties"/>
    <ds:schemaRef ds:uri="http://schemas.microsoft.com/office/infopath/2007/PartnerControls"/>
    <ds:schemaRef ds:uri="b882d378-6cd1-4eea-a711-4be59c7f8e2f"/>
    <ds:schemaRef ds:uri="7ef6ce10-7ef2-468e-8e66-4d1cb1f09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Palm, Traci</dc:creator>
  <cp:keywords/>
  <dc:description/>
  <cp:lastModifiedBy>Palm, Traci</cp:lastModifiedBy>
  <cp:revision>433</cp:revision>
  <dcterms:created xsi:type="dcterms:W3CDTF">2024-11-14T23:35:00Z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0x010100C4E672E28A710342A451255BA8F28371</vt:lpwstr>
  </property>
  <property fmtid="{D5CDD505-2E9C-101B-9397-08002B2CF9AE}" pid="3" name="MediaServiceImageTags">
    <vt:lpwstr/>
  </property>
</Properties>
</file>